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6B3D" w14:textId="77777777" w:rsidR="00E563B3" w:rsidRDefault="00E563B3" w:rsidP="007653D4">
      <w:pPr>
        <w:spacing w:line="360" w:lineRule="auto"/>
        <w:rPr>
          <w:rFonts w:ascii="Gill Sans MT" w:hAnsi="Gill Sans MT" w:cs="Bembo"/>
          <w:b/>
          <w:bCs/>
          <w:color w:val="262626"/>
          <w:sz w:val="22"/>
          <w:szCs w:val="22"/>
          <w:lang w:val="es"/>
        </w:rPr>
      </w:pPr>
    </w:p>
    <w:p w14:paraId="57353DE7" w14:textId="77777777" w:rsidR="00E563B3" w:rsidRDefault="00E563B3" w:rsidP="007653D4">
      <w:pPr>
        <w:spacing w:line="360" w:lineRule="auto"/>
        <w:rPr>
          <w:rFonts w:ascii="Gill Sans MT" w:hAnsi="Gill Sans MT" w:cs="Bembo"/>
          <w:b/>
          <w:bCs/>
          <w:color w:val="262626"/>
          <w:sz w:val="22"/>
          <w:szCs w:val="22"/>
          <w:lang w:val="es"/>
        </w:rPr>
      </w:pPr>
    </w:p>
    <w:p w14:paraId="54CA9767" w14:textId="77777777" w:rsidR="00E563B3" w:rsidRDefault="00E563B3" w:rsidP="007653D4">
      <w:pPr>
        <w:spacing w:line="360" w:lineRule="auto"/>
        <w:rPr>
          <w:rFonts w:ascii="Gill Sans MT" w:hAnsi="Gill Sans MT" w:cs="Bembo"/>
          <w:b/>
          <w:bCs/>
          <w:color w:val="262626"/>
          <w:sz w:val="22"/>
          <w:szCs w:val="22"/>
          <w:lang w:val="es"/>
        </w:rPr>
      </w:pPr>
    </w:p>
    <w:p w14:paraId="302B6041" w14:textId="3094BAAF" w:rsidR="007653D4" w:rsidRPr="000F27F2" w:rsidRDefault="007653D4" w:rsidP="007653D4">
      <w:pPr>
        <w:spacing w:line="360" w:lineRule="auto"/>
        <w:rPr>
          <w:rFonts w:ascii="Gill Sans MT" w:hAnsi="Gill Sans MT" w:cs="Bembo"/>
          <w:b/>
          <w:bCs/>
          <w:color w:val="262626"/>
          <w:sz w:val="22"/>
          <w:szCs w:val="22"/>
        </w:rPr>
      </w:pPr>
      <w:r>
        <w:rPr>
          <w:rFonts w:ascii="Gill Sans MT" w:hAnsi="Gill Sans MT" w:cs="Bembo"/>
          <w:b/>
          <w:bCs/>
          <w:color w:val="262626"/>
          <w:sz w:val="22"/>
          <w:szCs w:val="22"/>
          <w:lang w:val="es"/>
        </w:rPr>
        <w:t>COMUNICADO DE PRENSA</w:t>
      </w:r>
    </w:p>
    <w:p w14:paraId="0B186C4B" w14:textId="77777777" w:rsidR="007653D4" w:rsidRPr="000F27F2" w:rsidRDefault="007653D4" w:rsidP="007653D4">
      <w:pPr>
        <w:spacing w:line="360" w:lineRule="auto"/>
        <w:rPr>
          <w:rFonts w:ascii="Gill Sans MT" w:hAnsi="Gill Sans MT" w:cs="Bembo"/>
          <w:b/>
          <w:bCs/>
          <w:color w:val="262626"/>
          <w:sz w:val="22"/>
          <w:szCs w:val="22"/>
        </w:rPr>
      </w:pPr>
    </w:p>
    <w:p w14:paraId="38169197" w14:textId="54E04477" w:rsidR="00D55EAD" w:rsidRDefault="00BE1B73" w:rsidP="007653D4">
      <w:pPr>
        <w:rPr>
          <w:rFonts w:ascii="Gill Sans MT" w:hAnsi="Gill Sans MT" w:cs="Bembo"/>
          <w:color w:val="262626"/>
          <w:sz w:val="22"/>
          <w:szCs w:val="22"/>
          <w:lang w:val="es"/>
        </w:rPr>
      </w:pPr>
      <w:r w:rsidRPr="00BE1B73">
        <w:rPr>
          <w:rFonts w:ascii="Gill Sans MT" w:hAnsi="Gill Sans MT" w:cs="Bembo"/>
          <w:color w:val="262626"/>
          <w:sz w:val="22"/>
          <w:szCs w:val="22"/>
          <w:lang w:val="es"/>
        </w:rPr>
        <w:t>3 de julio de 2019</w:t>
      </w:r>
    </w:p>
    <w:p w14:paraId="3AAF749A" w14:textId="77777777" w:rsidR="00BE1B73" w:rsidRPr="00FE18CE" w:rsidRDefault="00BE1B73" w:rsidP="007653D4">
      <w:pPr>
        <w:rPr>
          <w:rFonts w:ascii="Gill Sans MT" w:hAnsi="Gill Sans MT"/>
          <w:b/>
          <w:bCs/>
          <w:sz w:val="22"/>
          <w:szCs w:val="22"/>
        </w:rPr>
      </w:pPr>
    </w:p>
    <w:p w14:paraId="7F54E4C9" w14:textId="02EDC319" w:rsidR="009135E0" w:rsidRPr="00FE18CE" w:rsidRDefault="009135E0" w:rsidP="007653D4">
      <w:pPr>
        <w:rPr>
          <w:rFonts w:ascii="Gill Sans MT" w:hAnsi="Gill Sans MT"/>
          <w:b/>
          <w:bCs/>
          <w:sz w:val="22"/>
          <w:szCs w:val="22"/>
        </w:rPr>
      </w:pPr>
      <w:r>
        <w:rPr>
          <w:rFonts w:ascii="Gill Sans MT" w:hAnsi="Gill Sans MT"/>
          <w:b/>
          <w:bCs/>
          <w:sz w:val="22"/>
          <w:szCs w:val="22"/>
          <w:lang w:val="es"/>
        </w:rPr>
        <w:t xml:space="preserve">Las normativas y las tendencias hacen “sudar tinta” a los fabricantes </w:t>
      </w:r>
    </w:p>
    <w:p w14:paraId="09F7F3FF" w14:textId="0DE98E31" w:rsidR="00D55EAD" w:rsidRPr="00FE18CE" w:rsidRDefault="00D55EAD" w:rsidP="00954C16">
      <w:pPr>
        <w:pStyle w:val="CommentText"/>
        <w:rPr>
          <w:rFonts w:ascii="Gill Sans MT" w:hAnsi="Gill Sans MT" w:cstheme="minorHAnsi"/>
          <w:b/>
          <w:sz w:val="22"/>
          <w:szCs w:val="22"/>
        </w:rPr>
      </w:pPr>
    </w:p>
    <w:p w14:paraId="333DEE5B" w14:textId="5F87A347" w:rsidR="00954C16" w:rsidRPr="00FE18CE" w:rsidRDefault="00954C16" w:rsidP="00954C16">
      <w:pPr>
        <w:pStyle w:val="CommentText"/>
        <w:rPr>
          <w:rFonts w:ascii="Gill Sans MT" w:hAnsi="Gill Sans MT"/>
          <w:sz w:val="22"/>
          <w:szCs w:val="22"/>
        </w:rPr>
      </w:pPr>
      <w:r>
        <w:rPr>
          <w:rFonts w:ascii="Gill Sans MT" w:hAnsi="Gill Sans MT"/>
          <w:sz w:val="22"/>
          <w:szCs w:val="22"/>
          <w:lang w:val="es"/>
        </w:rPr>
        <w:t>Los cambios en el panorama normativo en relación con las tintas empleadas en la codificación y el marcaje de productos y envases pueden presentar grandes desafíos para fabricantes de una gran variedad de sectores. Muchos estarán al tanto de la estricta normativa a la que se someten las tintas que entran en contacto con alimentos, pero quizás no sepan que la manipulación y el uso en la mayoría de los demás sectores de fabricación se ven sometidos a un control similar.</w:t>
      </w:r>
    </w:p>
    <w:p w14:paraId="76E63F8A" w14:textId="46B68FBB" w:rsidR="00954C16" w:rsidRPr="00FE18CE" w:rsidRDefault="00954C16" w:rsidP="00954C16">
      <w:pPr>
        <w:pStyle w:val="CommentText"/>
        <w:rPr>
          <w:rFonts w:ascii="Gill Sans MT" w:hAnsi="Gill Sans MT"/>
          <w:sz w:val="22"/>
          <w:szCs w:val="22"/>
        </w:rPr>
      </w:pPr>
    </w:p>
    <w:p w14:paraId="64B4DA7D" w14:textId="7266521E" w:rsidR="00954C16" w:rsidRPr="00FE18CE" w:rsidRDefault="00954C16" w:rsidP="00954C16">
      <w:pPr>
        <w:pStyle w:val="CommentText"/>
        <w:rPr>
          <w:rFonts w:ascii="Gill Sans MT" w:hAnsi="Gill Sans MT"/>
          <w:sz w:val="22"/>
          <w:szCs w:val="22"/>
        </w:rPr>
      </w:pPr>
      <w:r>
        <w:rPr>
          <w:rFonts w:ascii="Gill Sans MT" w:hAnsi="Gill Sans MT"/>
          <w:sz w:val="22"/>
          <w:szCs w:val="22"/>
          <w:lang w:val="es"/>
        </w:rPr>
        <w:t xml:space="preserve">«Los cambios en las normativas y clasificaciones de seguridad y medioambientales para las tintas empleadas en la codificación y el marcaje de productos, junto con las tendencias cambiantes en los materiales y el diseño de los envases, pueden provocar auténticos dolores de cabeza a los fabricantes de diversos sectores. La solución es un equipo interno que se dedique a innovar en tintas», señaló Josie Harries, directora de tecnologías de desarrollo de tintas de Domino. </w:t>
      </w:r>
    </w:p>
    <w:p w14:paraId="4C01BE2E" w14:textId="77777777" w:rsidR="00954C16" w:rsidRPr="00FE18CE" w:rsidRDefault="00954C16" w:rsidP="00954C16">
      <w:pPr>
        <w:pStyle w:val="CommentText"/>
        <w:rPr>
          <w:rFonts w:ascii="Gill Sans MT" w:hAnsi="Gill Sans MT"/>
          <w:sz w:val="22"/>
          <w:szCs w:val="22"/>
        </w:rPr>
      </w:pPr>
    </w:p>
    <w:p w14:paraId="48926E77" w14:textId="2CA309A5" w:rsidR="00555195" w:rsidRPr="00FE18CE" w:rsidRDefault="00806FE9" w:rsidP="00954C16">
      <w:pPr>
        <w:rPr>
          <w:rFonts w:ascii="Gill Sans MT" w:hAnsi="Gill Sans MT"/>
          <w:sz w:val="22"/>
          <w:szCs w:val="22"/>
        </w:rPr>
      </w:pPr>
      <w:bookmarkStart w:id="0" w:name="_Hlk7601496"/>
      <w:r>
        <w:rPr>
          <w:rFonts w:ascii="Gill Sans MT" w:hAnsi="Gill Sans MT"/>
          <w:sz w:val="22"/>
          <w:szCs w:val="22"/>
          <w:lang w:val="es"/>
        </w:rPr>
        <w:t xml:space="preserve">Los diseños de tintas son formulaciones complejas </w:t>
      </w:r>
      <w:bookmarkEnd w:id="0"/>
      <w:r>
        <w:rPr>
          <w:rFonts w:ascii="Gill Sans MT" w:hAnsi="Gill Sans MT"/>
          <w:sz w:val="22"/>
          <w:szCs w:val="22"/>
          <w:lang w:val="es"/>
        </w:rPr>
        <w:t xml:space="preserve">y contienen muchos compuestos diferentes que los formuladores seleccionan individualmente para que la tinta final tenga un determinado rendimiento. Cada cierto tiempo, se produce una reclasificación de los «ingredientes» de las tintas, lo cual puede tener consecuencias graves en la disponibilidad de las tintas, bien porque el uso de un componente deja de ser adecuado o bien porque una reclasificación más restrictiva conduce a utilizar otras alternativas. </w:t>
      </w:r>
    </w:p>
    <w:p w14:paraId="291E8F14" w14:textId="77777777" w:rsidR="00555195" w:rsidRPr="00FE18CE" w:rsidRDefault="00555195" w:rsidP="00954C16">
      <w:pPr>
        <w:rPr>
          <w:rFonts w:ascii="Gill Sans MT" w:hAnsi="Gill Sans MT"/>
          <w:sz w:val="22"/>
          <w:szCs w:val="22"/>
        </w:rPr>
      </w:pPr>
    </w:p>
    <w:p w14:paraId="2BBC94D3" w14:textId="34B36BBD" w:rsidR="00555195" w:rsidRPr="00FE18CE" w:rsidRDefault="00954C16" w:rsidP="00954C16">
      <w:pPr>
        <w:rPr>
          <w:rFonts w:ascii="Gill Sans MT" w:hAnsi="Gill Sans MT"/>
          <w:sz w:val="22"/>
          <w:szCs w:val="22"/>
        </w:rPr>
      </w:pPr>
      <w:r>
        <w:rPr>
          <w:rFonts w:ascii="Gill Sans MT" w:hAnsi="Gill Sans MT"/>
          <w:sz w:val="22"/>
          <w:szCs w:val="22"/>
          <w:lang w:val="es"/>
        </w:rPr>
        <w:t xml:space="preserve">A menudo, no se trata simplemente de cambiar un componente por otro, ya que esto puede afectar significativamente al rendimiento de la tinta, por ejemplo, en relación con </w:t>
      </w:r>
      <w:bookmarkStart w:id="1" w:name="_Hlk7602196"/>
      <w:r>
        <w:rPr>
          <w:rFonts w:ascii="Gill Sans MT" w:hAnsi="Gill Sans MT"/>
          <w:sz w:val="22"/>
          <w:szCs w:val="22"/>
          <w:lang w:val="es"/>
        </w:rPr>
        <w:t>la legibilidad y la durabilidad del código</w:t>
      </w:r>
      <w:bookmarkEnd w:id="1"/>
      <w:r>
        <w:rPr>
          <w:rFonts w:ascii="Gill Sans MT" w:hAnsi="Gill Sans MT"/>
          <w:sz w:val="22"/>
          <w:szCs w:val="22"/>
          <w:lang w:val="es"/>
        </w:rPr>
        <w:t>, la eficiencia de la impresora, la frecuencia de limpieza de la boquilla, etc., y estos factores pueden influir en la calidad del producto y en la fiabilidad de la producción. Si las materias primas dejan de estar disponibles debido a una reclasificación o a problemas en la cadena de suministro, esto podría impedir el suministro de tintas y, por consiguiente, la codificación, lo que supondría costosas paradas de producción y que los fabricantes buscaran otras soluciones de codificación. Cuando se usan sustratos o envases especiales o cuando se necesitan requisitos de rendimiento muy específicos, la creación de nuevas soluciones de codificación puede ser una tarea larga y costosa.</w:t>
      </w:r>
    </w:p>
    <w:p w14:paraId="0E54D781" w14:textId="77777777" w:rsidR="00555195" w:rsidRPr="00FE18CE" w:rsidRDefault="00555195" w:rsidP="00954C16">
      <w:pPr>
        <w:rPr>
          <w:rFonts w:ascii="Gill Sans MT" w:hAnsi="Gill Sans MT"/>
          <w:sz w:val="22"/>
          <w:szCs w:val="22"/>
        </w:rPr>
      </w:pPr>
    </w:p>
    <w:p w14:paraId="4E0E656D" w14:textId="5C75F5C9" w:rsidR="004E6939" w:rsidRPr="00FE18CE" w:rsidRDefault="00555195" w:rsidP="00670A3F">
      <w:pPr>
        <w:rPr>
          <w:rFonts w:ascii="Gill Sans MT" w:hAnsi="Gill Sans MT" w:cstheme="minorHAnsi"/>
          <w:sz w:val="22"/>
          <w:szCs w:val="22"/>
        </w:rPr>
      </w:pPr>
      <w:r>
        <w:rPr>
          <w:rFonts w:ascii="Gill Sans MT" w:hAnsi="Gill Sans MT"/>
          <w:sz w:val="22"/>
          <w:szCs w:val="22"/>
          <w:lang w:val="es"/>
        </w:rPr>
        <w:t>«Podría parecer sorprendente para aquellas personas ajenas al sector de la codificación y el marcaje que algo tan inocuo pueda tener tanto impacto en la producción, los beneficios y el cumplimiento contractual. Por eso, en Domino, reconocemos la importancia de desarrollar tintas con agilidad respetando los procesos de la cadena de suministro», comenta Harries.</w:t>
      </w:r>
      <w:bookmarkStart w:id="2" w:name="_Hlk530649345"/>
    </w:p>
    <w:bookmarkEnd w:id="2"/>
    <w:p w14:paraId="2805A17A" w14:textId="3FB4BFB3" w:rsidR="009D0D63" w:rsidRPr="00FE18CE" w:rsidRDefault="009D0D63" w:rsidP="009D0D63">
      <w:pPr>
        <w:rPr>
          <w:rFonts w:ascii="Gill Sans MT" w:hAnsi="Gill Sans MT" w:cstheme="minorHAnsi"/>
          <w:sz w:val="22"/>
          <w:szCs w:val="22"/>
        </w:rPr>
      </w:pPr>
    </w:p>
    <w:p w14:paraId="142B0CB9" w14:textId="3511FC94" w:rsidR="00C63142" w:rsidRDefault="00C63142" w:rsidP="009D0D63">
      <w:pPr>
        <w:rPr>
          <w:rFonts w:ascii="Gill Sans MT" w:hAnsi="Gill Sans MT" w:cstheme="minorHAnsi"/>
          <w:b/>
          <w:sz w:val="22"/>
          <w:szCs w:val="22"/>
        </w:rPr>
      </w:pPr>
      <w:r>
        <w:rPr>
          <w:rFonts w:ascii="Gill Sans MT" w:hAnsi="Gill Sans MT" w:cstheme="minorHAnsi"/>
          <w:b/>
          <w:bCs/>
          <w:sz w:val="22"/>
          <w:szCs w:val="22"/>
          <w:lang w:val="es"/>
        </w:rPr>
        <w:t>Las tendencias</w:t>
      </w:r>
    </w:p>
    <w:p w14:paraId="27CABF8B" w14:textId="77777777" w:rsidR="00964719" w:rsidRPr="00FE18CE" w:rsidRDefault="00964719" w:rsidP="009D0D63">
      <w:pPr>
        <w:rPr>
          <w:rFonts w:ascii="Gill Sans MT" w:hAnsi="Gill Sans MT" w:cstheme="minorHAnsi"/>
          <w:b/>
          <w:sz w:val="22"/>
          <w:szCs w:val="22"/>
        </w:rPr>
      </w:pPr>
    </w:p>
    <w:p w14:paraId="046944E1" w14:textId="77777777" w:rsidR="004B7C56" w:rsidRDefault="002A50FD" w:rsidP="002A50FD">
      <w:pPr>
        <w:rPr>
          <w:rFonts w:ascii="Gill Sans MT" w:hAnsi="Gill Sans MT" w:cstheme="minorHAnsi"/>
          <w:sz w:val="22"/>
          <w:szCs w:val="22"/>
          <w:lang w:val="es"/>
        </w:rPr>
      </w:pPr>
      <w:r>
        <w:rPr>
          <w:rFonts w:ascii="Gill Sans MT" w:hAnsi="Gill Sans MT" w:cstheme="minorHAnsi"/>
          <w:sz w:val="22"/>
          <w:szCs w:val="22"/>
          <w:lang w:val="es"/>
        </w:rPr>
        <w:t xml:space="preserve">El envasado de productos evoluciona constantemente, y esto afecta a la idoneidad de las tintas existentes e impulsa la innovación en el desarrollo de tintas. Entre las tendencias actuales figuran un mayor interés de los consumidores por reducir los envases de un solo uso, lo que ha acelerado la introducción de envases más sostenibles —alternativos al plástico— y un acercamiento a productos que se ajusten a una economía circular, </w:t>
      </w:r>
    </w:p>
    <w:p w14:paraId="49A86767" w14:textId="77777777" w:rsidR="004B7C56" w:rsidRDefault="004B7C56" w:rsidP="002A50FD">
      <w:pPr>
        <w:rPr>
          <w:rFonts w:ascii="Gill Sans MT" w:hAnsi="Gill Sans MT" w:cstheme="minorHAnsi"/>
          <w:sz w:val="22"/>
          <w:szCs w:val="22"/>
          <w:lang w:val="es"/>
        </w:rPr>
      </w:pPr>
    </w:p>
    <w:p w14:paraId="27691151" w14:textId="77777777" w:rsidR="004B7C56" w:rsidRDefault="004B7C56" w:rsidP="002A50FD">
      <w:pPr>
        <w:rPr>
          <w:rFonts w:ascii="Gill Sans MT" w:hAnsi="Gill Sans MT" w:cstheme="minorHAnsi"/>
          <w:sz w:val="22"/>
          <w:szCs w:val="22"/>
          <w:lang w:val="es"/>
        </w:rPr>
      </w:pPr>
    </w:p>
    <w:p w14:paraId="58BBFBC8" w14:textId="77777777" w:rsidR="004B7C56" w:rsidRDefault="004B7C56" w:rsidP="002A50FD">
      <w:pPr>
        <w:rPr>
          <w:rFonts w:ascii="Gill Sans MT" w:hAnsi="Gill Sans MT" w:cstheme="minorHAnsi"/>
          <w:sz w:val="22"/>
          <w:szCs w:val="22"/>
          <w:lang w:val="es"/>
        </w:rPr>
      </w:pPr>
    </w:p>
    <w:p w14:paraId="103C7A3B" w14:textId="77777777" w:rsidR="004B7C56" w:rsidRDefault="004B7C56" w:rsidP="002A50FD">
      <w:pPr>
        <w:rPr>
          <w:rFonts w:ascii="Gill Sans MT" w:hAnsi="Gill Sans MT" w:cstheme="minorHAnsi"/>
          <w:sz w:val="22"/>
          <w:szCs w:val="22"/>
          <w:lang w:val="es"/>
        </w:rPr>
      </w:pPr>
    </w:p>
    <w:p w14:paraId="1179B7E5" w14:textId="77777777" w:rsidR="004B7C56" w:rsidRDefault="004B7C56" w:rsidP="002A50FD">
      <w:pPr>
        <w:rPr>
          <w:rFonts w:ascii="Gill Sans MT" w:hAnsi="Gill Sans MT" w:cstheme="minorHAnsi"/>
          <w:sz w:val="22"/>
          <w:szCs w:val="22"/>
          <w:lang w:val="es"/>
        </w:rPr>
      </w:pPr>
    </w:p>
    <w:p w14:paraId="2F70B454" w14:textId="7B29E66C" w:rsidR="006158EE" w:rsidRPr="00FE18CE" w:rsidRDefault="002A50FD" w:rsidP="002A50FD">
      <w:pPr>
        <w:rPr>
          <w:rFonts w:ascii="Gill Sans MT" w:hAnsi="Gill Sans MT" w:cstheme="minorHAnsi"/>
          <w:sz w:val="22"/>
          <w:szCs w:val="22"/>
        </w:rPr>
      </w:pPr>
      <w:r>
        <w:rPr>
          <w:rFonts w:ascii="Gill Sans MT" w:hAnsi="Gill Sans MT" w:cstheme="minorHAnsi"/>
          <w:sz w:val="22"/>
          <w:szCs w:val="22"/>
          <w:lang w:val="es"/>
        </w:rPr>
        <w:t>reduciéndose así los residuos. Interactuar con los clientes y estudiar las tendencias del mercado son medidas clave para producir soluciones de productos de tinta que sean innovadoras y fiables.</w:t>
      </w:r>
    </w:p>
    <w:p w14:paraId="0F79AC41" w14:textId="77777777" w:rsidR="006158EE" w:rsidRPr="00FE18CE" w:rsidRDefault="006158EE" w:rsidP="002A50FD">
      <w:pPr>
        <w:rPr>
          <w:rFonts w:ascii="Gill Sans MT" w:hAnsi="Gill Sans MT" w:cstheme="minorHAnsi"/>
          <w:sz w:val="22"/>
          <w:szCs w:val="22"/>
        </w:rPr>
      </w:pPr>
    </w:p>
    <w:p w14:paraId="51765EC1" w14:textId="3B7E9EF8" w:rsidR="006158EE" w:rsidRPr="00FE18CE" w:rsidRDefault="006158EE"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es"/>
        </w:rPr>
        <w:t xml:space="preserve">Por ejemplo, cada vez más empresas buscan </w:t>
      </w:r>
      <w:r>
        <w:rPr>
          <w:rFonts w:ascii="Gill Sans MT" w:hAnsi="Gill Sans MT" w:cstheme="minorHAnsi"/>
          <w:color w:val="000000" w:themeColor="text1"/>
          <w:sz w:val="22"/>
          <w:szCs w:val="22"/>
          <w:bdr w:val="none" w:sz="0" w:space="0" w:color="auto" w:frame="1"/>
          <w:shd w:val="clear" w:color="auto" w:fill="FFFFFF"/>
          <w:lang w:val="es"/>
        </w:rPr>
        <w:t xml:space="preserve">una tinta duradera que aguante todo el ciclo de vida del producto, pero que también se pueda eliminar llegado el final de la vida útil si va a reciclarse. </w:t>
      </w:r>
      <w:r>
        <w:rPr>
          <w:rFonts w:ascii="Gill Sans MT" w:hAnsi="Gill Sans MT" w:cstheme="minorHAnsi"/>
          <w:sz w:val="22"/>
          <w:szCs w:val="22"/>
          <w:lang w:val="es"/>
        </w:rPr>
        <w:t xml:space="preserve">Esto puede ser bastante complicado, pero los equipos que trabajan en la creación de tintas de Domino están </w:t>
      </w:r>
      <w:r>
        <w:rPr>
          <w:rFonts w:ascii="Gill Sans MT" w:hAnsi="Gill Sans MT" w:cstheme="minorHAnsi"/>
          <w:color w:val="000000" w:themeColor="text1"/>
          <w:sz w:val="22"/>
          <w:szCs w:val="22"/>
          <w:bdr w:val="none" w:sz="0" w:space="0" w:color="auto" w:frame="1"/>
          <w:shd w:val="clear" w:color="auto" w:fill="FFFFFF"/>
          <w:lang w:val="es"/>
        </w:rPr>
        <w:t xml:space="preserve">centrados actualmente en el desarrollo de soluciones innovadoras de tintas sostenibles y respetuosas con el medio ambiente, así como de diseños de prueba de concepto para ver cómo puede reducirse la huella ambiental de la tinta.  </w:t>
      </w:r>
    </w:p>
    <w:p w14:paraId="1D78898E" w14:textId="77777777" w:rsidR="006E7319" w:rsidRPr="00FE18CE" w:rsidRDefault="006E7319" w:rsidP="006E7319">
      <w:pPr>
        <w:rPr>
          <w:rFonts w:ascii="Gill Sans MT" w:hAnsi="Gill Sans MT" w:cstheme="minorHAnsi"/>
          <w:color w:val="000000" w:themeColor="text1"/>
          <w:sz w:val="22"/>
          <w:szCs w:val="22"/>
          <w:bdr w:val="none" w:sz="0" w:space="0" w:color="auto" w:frame="1"/>
          <w:shd w:val="clear" w:color="auto" w:fill="FFFFFF"/>
        </w:rPr>
      </w:pPr>
    </w:p>
    <w:p w14:paraId="35BC3173" w14:textId="7A53F936" w:rsidR="006E7319" w:rsidRPr="00FE18CE" w:rsidRDefault="006E7319"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color w:val="000000" w:themeColor="text1"/>
          <w:sz w:val="22"/>
          <w:szCs w:val="22"/>
          <w:bdr w:val="none" w:sz="0" w:space="0" w:color="auto" w:frame="1"/>
          <w:shd w:val="clear" w:color="auto" w:fill="FFFFFF"/>
          <w:lang w:val="es"/>
        </w:rPr>
        <w:t xml:space="preserve">A los formuladores de tintas de Domino, y sus amplios conocimientos y experiencia, se suman los equipos internos de análisis, que estudian los sustratos de los envases de los clientes y, mediante diversas técnicas, identifican las materias primas adecuadas que permitirán la impresión de códigos de alta calidad. </w:t>
      </w:r>
    </w:p>
    <w:p w14:paraId="205FFCFB" w14:textId="77777777" w:rsidR="006158EE" w:rsidRPr="00FE18CE" w:rsidRDefault="006158EE" w:rsidP="002A50FD">
      <w:pPr>
        <w:rPr>
          <w:rFonts w:ascii="Gill Sans MT" w:hAnsi="Gill Sans MT" w:cstheme="minorHAnsi"/>
          <w:sz w:val="22"/>
          <w:szCs w:val="22"/>
        </w:rPr>
      </w:pPr>
    </w:p>
    <w:p w14:paraId="1935A023" w14:textId="24CBFF1B" w:rsidR="002A50FD" w:rsidRPr="00FE18CE" w:rsidRDefault="002A50FD" w:rsidP="002A50FD">
      <w:pPr>
        <w:rPr>
          <w:rFonts w:ascii="Gill Sans MT" w:hAnsi="Gill Sans MT" w:cstheme="minorHAnsi"/>
          <w:sz w:val="22"/>
          <w:szCs w:val="22"/>
        </w:rPr>
      </w:pPr>
      <w:r>
        <w:rPr>
          <w:rFonts w:ascii="Gill Sans MT" w:hAnsi="Gill Sans MT" w:cstheme="minorHAnsi"/>
          <w:sz w:val="22"/>
          <w:szCs w:val="22"/>
          <w:lang w:val="es"/>
        </w:rPr>
        <w:t>Otra tendencia está ligada a mejorar la integridad de los productos para garantizar la confianza del consumidor en la cadena de suministro. Se espera que todos los que participan en el proceso de producción, procesamiento, transporte y comercialización de los productos hagan todo lo razonablemente posible para evitar problemas y garantizar la seguridad de los consumidores.</w:t>
      </w:r>
    </w:p>
    <w:p w14:paraId="410679AA" w14:textId="307633D8" w:rsidR="000213A5" w:rsidRPr="00FE18CE" w:rsidRDefault="000213A5" w:rsidP="002A50FD">
      <w:pPr>
        <w:rPr>
          <w:rFonts w:ascii="Gill Sans MT" w:hAnsi="Gill Sans MT" w:cstheme="minorHAnsi"/>
          <w:sz w:val="22"/>
          <w:szCs w:val="22"/>
        </w:rPr>
      </w:pPr>
    </w:p>
    <w:p w14:paraId="0BEAA174" w14:textId="05F9223C" w:rsidR="000213A5" w:rsidRPr="00FE18CE" w:rsidRDefault="000213A5" w:rsidP="000213A5">
      <w:pPr>
        <w:pStyle w:val="Pa3"/>
        <w:spacing w:line="240" w:lineRule="auto"/>
        <w:rPr>
          <w:rFonts w:ascii="Gill Sans MT" w:hAnsi="Gill Sans MT" w:cstheme="minorHAnsi"/>
          <w:sz w:val="22"/>
          <w:szCs w:val="22"/>
        </w:rPr>
      </w:pPr>
      <w:r>
        <w:rPr>
          <w:rFonts w:ascii="Gill Sans MT" w:hAnsi="Gill Sans MT" w:cstheme="minorHAnsi"/>
          <w:sz w:val="22"/>
          <w:szCs w:val="22"/>
          <w:lang w:val="es"/>
        </w:rPr>
        <w:t>«Al pertenecer a la EuPIA y otras de las principales asociaciones de información industrial, consideramos los riesgos y acometemos evaluaciones de exposición con arreglo a principios científicos reconocidos internacionalmente. Los principios de mejora continua se alinean con cuestiones como la seguridad de los consumidores, y pertenecer a varios grupos de interés nos permite estar al corriente de cualquier cambio inminente en el mercado», declara Harries.</w:t>
      </w:r>
    </w:p>
    <w:p w14:paraId="424572E8" w14:textId="77777777" w:rsidR="000213A5" w:rsidRPr="00FE18CE" w:rsidRDefault="000213A5" w:rsidP="000213A5">
      <w:pPr>
        <w:rPr>
          <w:rFonts w:ascii="Gill Sans MT" w:hAnsi="Gill Sans MT" w:cstheme="minorHAnsi"/>
          <w:color w:val="000000"/>
          <w:sz w:val="22"/>
          <w:szCs w:val="22"/>
        </w:rPr>
      </w:pPr>
    </w:p>
    <w:p w14:paraId="4641C1AC" w14:textId="5A94DEE4" w:rsidR="000213A5" w:rsidRPr="00FE18CE" w:rsidRDefault="000213A5" w:rsidP="000213A5">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es"/>
        </w:rPr>
        <w:t xml:space="preserve">A lo largo del proceso de desarrollo de tintas, es importante recabar datos como, por ejemplo, los disolventes de cada compuesto y el rendimiento general de la tinta. También es importante mantenerse al tanto de los cambios futuros en las normativas a fin de garantizar que los compuestos de las tintas puedan sustituirse con la menor de las interrupciones en caso de que se produzca una reclasificación de una tinta. Al </w:t>
      </w:r>
      <w:r>
        <w:rPr>
          <w:rFonts w:ascii="Gill Sans MT" w:hAnsi="Gill Sans MT" w:cstheme="minorHAnsi"/>
          <w:color w:val="000000" w:themeColor="text1"/>
          <w:sz w:val="22"/>
          <w:szCs w:val="22"/>
          <w:bdr w:val="none" w:sz="0" w:space="0" w:color="auto" w:frame="1"/>
          <w:shd w:val="clear" w:color="auto" w:fill="FFFFFF"/>
          <w:lang w:val="es"/>
        </w:rPr>
        <w:t xml:space="preserve">desarrollar tintas de esta manera, los clientes experimentan interrupciones mínimas o nulas en su suministro.  </w:t>
      </w:r>
    </w:p>
    <w:p w14:paraId="16A99FEC" w14:textId="541D3078" w:rsidR="007653D4" w:rsidRPr="00FE18CE" w:rsidRDefault="00BF4C88" w:rsidP="007653D4">
      <w:pPr>
        <w:rPr>
          <w:rFonts w:ascii="Gill Sans MT" w:hAnsi="Gill Sans MT" w:cstheme="minorHAnsi"/>
          <w:sz w:val="22"/>
          <w:szCs w:val="22"/>
        </w:rPr>
      </w:pPr>
      <w:r>
        <w:rPr>
          <w:rFonts w:ascii="Gill Sans MT" w:hAnsi="Gill Sans MT" w:cstheme="minorHAnsi"/>
          <w:sz w:val="22"/>
          <w:szCs w:val="22"/>
          <w:lang w:val="es"/>
        </w:rPr>
        <w:t xml:space="preserve">  </w:t>
      </w:r>
    </w:p>
    <w:p w14:paraId="420E467B" w14:textId="65FA6C47" w:rsidR="00FE18CE" w:rsidRDefault="000213A5" w:rsidP="007653D4">
      <w:pPr>
        <w:rPr>
          <w:rFonts w:ascii="Gill Sans MT" w:hAnsi="Gill Sans MT" w:cstheme="minorHAnsi"/>
          <w:sz w:val="22"/>
          <w:szCs w:val="22"/>
        </w:rPr>
      </w:pPr>
      <w:r>
        <w:rPr>
          <w:rFonts w:ascii="Gill Sans MT" w:hAnsi="Gill Sans MT" w:cstheme="minorHAnsi"/>
          <w:color w:val="000000" w:themeColor="text1"/>
          <w:sz w:val="22"/>
          <w:szCs w:val="22"/>
          <w:bdr w:val="none" w:sz="0" w:space="0" w:color="auto" w:frame="1"/>
          <w:shd w:val="clear" w:color="auto" w:fill="FFFFFF"/>
          <w:lang w:val="es"/>
        </w:rPr>
        <w:t xml:space="preserve">En un mundo que requiere una respuesta rápida en el desarrollo de tintas, los sistemas automatizados con experimentación diseñada con base estadística permiten comercializar rápido las tintas nuevas o renovadas, con lo que se reduce el riesgo de que los clientes sufran tiempo de inactividad. </w:t>
      </w:r>
      <w:r>
        <w:rPr>
          <w:rFonts w:ascii="Gill Sans MT" w:hAnsi="Gill Sans MT" w:cstheme="minorHAnsi"/>
          <w:sz w:val="22"/>
          <w:szCs w:val="22"/>
          <w:lang w:val="es"/>
        </w:rPr>
        <w:t xml:space="preserve">La capacidad de conferir flexibilidad al proceso de desarrollo de tintas permite suministrar soluciones rápidas ante los desafíos a los que puedan enfrentarse las partes interesadas con respecto a las tintas. </w:t>
      </w:r>
    </w:p>
    <w:p w14:paraId="3B504182" w14:textId="77777777" w:rsidR="00FE18CE" w:rsidRDefault="00FE18CE" w:rsidP="007653D4">
      <w:pPr>
        <w:rPr>
          <w:rFonts w:ascii="Gill Sans MT" w:hAnsi="Gill Sans MT" w:cstheme="minorHAnsi"/>
          <w:sz w:val="22"/>
          <w:szCs w:val="22"/>
        </w:rPr>
      </w:pPr>
    </w:p>
    <w:p w14:paraId="44780379" w14:textId="18E9D073" w:rsidR="007653D4" w:rsidRPr="00E563B3" w:rsidRDefault="00AF37B3" w:rsidP="007653D4">
      <w:pPr>
        <w:rPr>
          <w:rFonts w:ascii="Gill Sans MT" w:hAnsi="Gill Sans MT" w:cstheme="minorHAnsi"/>
          <w:sz w:val="22"/>
          <w:szCs w:val="22"/>
        </w:rPr>
      </w:pPr>
      <w:r>
        <w:rPr>
          <w:rFonts w:ascii="Gill Sans MT" w:hAnsi="Gill Sans MT" w:cstheme="minorHAnsi"/>
          <w:sz w:val="22"/>
          <w:szCs w:val="22"/>
          <w:shd w:val="clear" w:color="auto" w:fill="FFFFFF"/>
          <w:lang w:val="es"/>
        </w:rPr>
        <w:t xml:space="preserve">Para obtener más información sobre nuestras innovadoras soluciones de tinta, visita </w:t>
      </w:r>
      <w:hyperlink r:id="rId7" w:history="1">
        <w:r w:rsidR="00E563B3" w:rsidRPr="00E563B3">
          <w:rPr>
            <w:rStyle w:val="Hyperlink"/>
            <w:rFonts w:ascii="Gill Sans MT" w:hAnsi="Gill Sans MT"/>
            <w:color w:val="0070D2"/>
            <w:sz w:val="22"/>
            <w:szCs w:val="22"/>
          </w:rPr>
          <w:t>https://go.domino-printing.com/inks-es</w:t>
        </w:r>
      </w:hyperlink>
    </w:p>
    <w:p w14:paraId="4B2A1172" w14:textId="5025261E" w:rsidR="007653D4" w:rsidRDefault="007653D4">
      <w:pPr>
        <w:rPr>
          <w:rFonts w:ascii="Gill Sans MT" w:hAnsi="Gill Sans MT"/>
          <w:sz w:val="22"/>
          <w:szCs w:val="22"/>
        </w:rPr>
      </w:pPr>
    </w:p>
    <w:p w14:paraId="3C341FD8" w14:textId="697046FE" w:rsidR="00FD148B" w:rsidRDefault="00FD148B">
      <w:pPr>
        <w:rPr>
          <w:rFonts w:ascii="Gill Sans MT" w:hAnsi="Gill Sans MT"/>
          <w:sz w:val="22"/>
          <w:szCs w:val="22"/>
        </w:rPr>
      </w:pPr>
    </w:p>
    <w:p w14:paraId="6932456B" w14:textId="77777777" w:rsidR="004B7C56" w:rsidRPr="00693CA8" w:rsidRDefault="004B7C56" w:rsidP="004B7C56">
      <w:pPr>
        <w:spacing w:line="360" w:lineRule="auto"/>
        <w:jc w:val="center"/>
        <w:rPr>
          <w:rFonts w:ascii="Gill Sans MT" w:hAnsi="Gill Sans MT" w:cs="Gill Sans MT"/>
          <w:b/>
          <w:bCs/>
          <w:color w:val="323133"/>
          <w:sz w:val="24"/>
          <w:szCs w:val="24"/>
          <w:lang w:val="es-ES"/>
        </w:rPr>
      </w:pPr>
      <w:r>
        <w:rPr>
          <w:rFonts w:ascii="Gill Sans MT" w:hAnsi="Gill Sans MT" w:cs="Gill Sans MT"/>
          <w:b/>
          <w:bCs/>
          <w:color w:val="323133"/>
          <w:sz w:val="24"/>
          <w:szCs w:val="24"/>
          <w:lang w:val="es"/>
        </w:rPr>
        <w:t>FIN</w:t>
      </w:r>
    </w:p>
    <w:p w14:paraId="489E1008" w14:textId="77777777" w:rsidR="004B7C56" w:rsidRPr="00693CA8" w:rsidRDefault="004B7C56" w:rsidP="004B7C56">
      <w:pPr>
        <w:rPr>
          <w:rFonts w:ascii="Gill Sans MT" w:hAnsi="Gill Sans MT" w:cs="Gill Sans MT"/>
          <w:b/>
          <w:bCs/>
          <w:color w:val="323133"/>
          <w:sz w:val="24"/>
          <w:lang w:val="es-ES"/>
        </w:rPr>
      </w:pPr>
    </w:p>
    <w:p w14:paraId="72D9EDE7" w14:textId="77777777" w:rsidR="004B7C56" w:rsidRDefault="004B7C56" w:rsidP="004B7C56">
      <w:pPr>
        <w:rPr>
          <w:rFonts w:ascii="Gill Sans MT" w:hAnsi="Gill Sans MT"/>
          <w:b/>
          <w:lang w:val="es-ES"/>
        </w:rPr>
      </w:pPr>
      <w:bookmarkStart w:id="3" w:name="_Hlk531088985"/>
      <w:r>
        <w:rPr>
          <w:rFonts w:ascii="Gill Sans MT" w:hAnsi="Gill Sans MT"/>
          <w:b/>
          <w:bCs/>
          <w:lang w:val="es"/>
        </w:rPr>
        <w:t>Política de responsabilidad</w:t>
      </w:r>
    </w:p>
    <w:p w14:paraId="2D889F72" w14:textId="77777777" w:rsidR="004B7C56" w:rsidRPr="000F4182" w:rsidRDefault="004B7C56" w:rsidP="004B7C56">
      <w:pPr>
        <w:rPr>
          <w:rFonts w:ascii="Gill Sans MT" w:hAnsi="Gill Sans MT"/>
          <w:b/>
          <w:lang w:val="es-ES"/>
        </w:rPr>
      </w:pPr>
      <w:r>
        <w:rPr>
          <w:rFonts w:ascii="Gill Sans MT" w:hAnsi="Gill Sans MT"/>
          <w:lang w:val="es"/>
        </w:rPr>
        <w:t>Para información específica sobre un producto, contacte con un asesor comercial de Domino. Este folleto no forma parte de ningún tipo de documento de términos y condiciones entre usted y Domino.</w:t>
      </w:r>
    </w:p>
    <w:p w14:paraId="6D599ADF" w14:textId="77777777" w:rsidR="004B7C56" w:rsidRPr="00693CA8" w:rsidRDefault="004B7C56" w:rsidP="004B7C56">
      <w:pPr>
        <w:rPr>
          <w:rFonts w:ascii="Gill Sans MT" w:hAnsi="Gill Sans MT"/>
          <w:lang w:val="es-ES"/>
        </w:rPr>
      </w:pPr>
    </w:p>
    <w:p w14:paraId="219761A3" w14:textId="77777777" w:rsidR="004B7C56" w:rsidRPr="00693CA8" w:rsidRDefault="004B7C56" w:rsidP="004B7C56">
      <w:pPr>
        <w:rPr>
          <w:rFonts w:ascii="Gill Sans MT" w:hAnsi="Gill Sans MT"/>
          <w:lang w:val="es-ES"/>
        </w:rPr>
      </w:pPr>
      <w:r>
        <w:rPr>
          <w:rFonts w:ascii="Gill Sans MT" w:hAnsi="Gill Sans MT"/>
          <w:lang w:val="es"/>
        </w:rPr>
        <w:t xml:space="preserve">Las imágenes y las fotografías no forman parte de ningún documento de términos y condiciones entre usted y Domino. </w:t>
      </w:r>
    </w:p>
    <w:p w14:paraId="4789712C" w14:textId="77777777" w:rsidR="004B7C56" w:rsidRPr="00693CA8" w:rsidRDefault="004B7C56" w:rsidP="004B7C56">
      <w:pPr>
        <w:rPr>
          <w:rFonts w:ascii="Gill Sans MT" w:eastAsiaTheme="minorHAnsi" w:hAnsi="Gill Sans MT" w:cs="Times New Roman"/>
          <w:b/>
          <w:bCs/>
          <w:sz w:val="24"/>
          <w:szCs w:val="24"/>
          <w:lang w:val="es-ES"/>
        </w:rPr>
      </w:pPr>
    </w:p>
    <w:p w14:paraId="14CA299A" w14:textId="77777777" w:rsidR="004B7C56" w:rsidRDefault="004B7C56" w:rsidP="004B7C56">
      <w:pPr>
        <w:rPr>
          <w:rFonts w:ascii="Gill Sans MT" w:eastAsiaTheme="minorHAnsi" w:hAnsi="Gill Sans MT" w:cs="Times New Roman"/>
          <w:b/>
          <w:bCs/>
          <w:sz w:val="24"/>
          <w:szCs w:val="24"/>
          <w:lang w:val="es"/>
        </w:rPr>
      </w:pPr>
    </w:p>
    <w:p w14:paraId="735A54BD" w14:textId="77777777" w:rsidR="004B7C56" w:rsidRDefault="004B7C56" w:rsidP="004B7C56">
      <w:pPr>
        <w:rPr>
          <w:rFonts w:ascii="Gill Sans MT" w:eastAsiaTheme="minorHAnsi" w:hAnsi="Gill Sans MT" w:cs="Times New Roman"/>
          <w:b/>
          <w:bCs/>
          <w:sz w:val="24"/>
          <w:szCs w:val="24"/>
          <w:lang w:val="es"/>
        </w:rPr>
      </w:pPr>
    </w:p>
    <w:p w14:paraId="08837717" w14:textId="77777777" w:rsidR="004B7C56" w:rsidRDefault="004B7C56" w:rsidP="004B7C56">
      <w:pPr>
        <w:rPr>
          <w:rFonts w:ascii="Gill Sans MT" w:eastAsiaTheme="minorHAnsi" w:hAnsi="Gill Sans MT" w:cs="Times New Roman"/>
          <w:b/>
          <w:bCs/>
          <w:sz w:val="24"/>
          <w:szCs w:val="24"/>
          <w:lang w:val="es"/>
        </w:rPr>
      </w:pPr>
    </w:p>
    <w:p w14:paraId="7EC77F58" w14:textId="6B71D19D" w:rsidR="004B7C56" w:rsidRPr="00693CA8" w:rsidRDefault="004B7C56" w:rsidP="004B7C56">
      <w:pPr>
        <w:rPr>
          <w:rFonts w:ascii="Gill Sans MT" w:eastAsiaTheme="minorHAnsi" w:hAnsi="Gill Sans MT" w:cs="Times New Roman"/>
          <w:b/>
          <w:bCs/>
          <w:sz w:val="24"/>
          <w:szCs w:val="24"/>
          <w:lang w:val="es-ES"/>
        </w:rPr>
      </w:pPr>
      <w:r>
        <w:rPr>
          <w:rFonts w:ascii="Gill Sans MT" w:eastAsiaTheme="minorHAnsi" w:hAnsi="Gill Sans MT" w:cs="Times New Roman"/>
          <w:b/>
          <w:bCs/>
          <w:sz w:val="24"/>
          <w:szCs w:val="24"/>
          <w:lang w:val="es"/>
        </w:rPr>
        <w:t>Notas para los editores:</w:t>
      </w:r>
    </w:p>
    <w:p w14:paraId="466D556B" w14:textId="77777777" w:rsidR="004B7C56" w:rsidRPr="00693CA8" w:rsidRDefault="004B7C56" w:rsidP="004B7C56">
      <w:pPr>
        <w:tabs>
          <w:tab w:val="left" w:pos="3969"/>
        </w:tabs>
        <w:rPr>
          <w:lang w:val="es-ES"/>
        </w:rPr>
      </w:pPr>
    </w:p>
    <w:p w14:paraId="6B72CCD9" w14:textId="77777777" w:rsidR="004B7C56" w:rsidRPr="00693CA8" w:rsidRDefault="004B7C56" w:rsidP="004B7C56">
      <w:pPr>
        <w:rPr>
          <w:rFonts w:ascii="Gill Sans MT" w:eastAsiaTheme="minorHAnsi" w:hAnsi="Gill Sans MT" w:cs="Times New Roman"/>
          <w:lang w:val="es-ES"/>
        </w:rPr>
      </w:pPr>
      <w:r>
        <w:rPr>
          <w:rFonts w:ascii="Gill Sans MT" w:eastAsiaTheme="minorHAnsi" w:hAnsi="Gill Sans MT" w:cs="Times New Roman"/>
          <w:b/>
          <w:bCs/>
          <w:lang w:val="es"/>
        </w:rPr>
        <w:t>Acerca de Domino</w:t>
      </w:r>
    </w:p>
    <w:p w14:paraId="2E299F03" w14:textId="77777777" w:rsidR="004B7C56" w:rsidRPr="00693CA8" w:rsidRDefault="004B7C56" w:rsidP="004B7C56">
      <w:pPr>
        <w:rPr>
          <w:rFonts w:ascii="Gill Sans MT" w:eastAsiaTheme="minorHAnsi" w:hAnsi="Gill Sans MT" w:cs="Times New Roman"/>
          <w:lang w:val="es-ES"/>
        </w:rPr>
      </w:pPr>
      <w:r>
        <w:rPr>
          <w:rFonts w:ascii="Gill Sans MT" w:eastAsiaTheme="minorHAnsi" w:hAnsi="Gill Sans MT" w:cs="Times New Roman"/>
          <w:lang w:val="es"/>
        </w:rPr>
        <w:t xml:space="preserve">Domino Printing Sciences, empresa fundada en 1978, cuenta con una excelente reputación a nivel mundial gracias a soluciones tecnológicas de codificación, marcaje e impresión. Como valor añadido, destacan especialmente sus servicios internacionales de postventa y atención al cliente. En la actualidad, Domino tiene una de las carteras más completas para soluciones de codificación integrales del embalaje primario, secundario y terciario, diseñadas específicamente para satisfacer los requisitos de productividad y cumplimiento de los fabricantes. Entre ellas se encuentran tecnologías innovadoras de inkjet, sistemas láser, impresión y aplicación de etiquetas e impresión por transferencia térmica, que se han utilizado para la aplicación de datos variables y de autenticación, códigos de barras y códigos de trazabilidad únicos en productos y envases, por numerosos sectores industriales, entre los que destacan la industria alimentaria y de las bebidas, el sector farmacéutico y el de productos industriales.  </w:t>
      </w:r>
    </w:p>
    <w:p w14:paraId="0DC60B70" w14:textId="77777777" w:rsidR="004B7C56" w:rsidRPr="00693CA8" w:rsidRDefault="004B7C56" w:rsidP="004B7C56">
      <w:pPr>
        <w:rPr>
          <w:rFonts w:ascii="Gill Sans MT" w:eastAsiaTheme="minorHAnsi" w:hAnsi="Gill Sans MT" w:cs="Times New Roman"/>
          <w:lang w:val="es-ES"/>
        </w:rPr>
      </w:pPr>
    </w:p>
    <w:p w14:paraId="01B176E5" w14:textId="77777777" w:rsidR="004B7C56" w:rsidRPr="00693CA8" w:rsidRDefault="004B7C56" w:rsidP="004B7C56">
      <w:pPr>
        <w:rPr>
          <w:rFonts w:ascii="Gill Sans MT" w:eastAsiaTheme="minorHAnsi" w:hAnsi="Gill Sans MT" w:cs="Times New Roman"/>
          <w:lang w:val="es-ES"/>
        </w:rPr>
      </w:pPr>
      <w:r>
        <w:rPr>
          <w:rFonts w:ascii="Gill Sans MT" w:eastAsiaTheme="minorHAnsi" w:hAnsi="Gill Sans MT" w:cs="Times New Roman"/>
          <w:lang w:val="es"/>
        </w:rPr>
        <w:t>Domino cuenta a nivel mundial con 2800 empleados y vende a más de 120 países a través de una red global de 25 filiales y más de 200 distribuidores. Las fábricas de Domino se encuentran en Alemania, China, EE. UU., India, Reino Unido, Suecia y Suiza.</w:t>
      </w:r>
    </w:p>
    <w:p w14:paraId="102AF34E" w14:textId="77777777" w:rsidR="004B7C56" w:rsidRPr="00693CA8" w:rsidRDefault="004B7C56" w:rsidP="004B7C56">
      <w:pPr>
        <w:rPr>
          <w:rFonts w:ascii="Gill Sans MT" w:eastAsiaTheme="minorHAnsi" w:hAnsi="Gill Sans MT" w:cs="Times New Roman"/>
          <w:lang w:val="es-ES"/>
        </w:rPr>
      </w:pPr>
    </w:p>
    <w:p w14:paraId="5AC4AF15" w14:textId="77777777" w:rsidR="004B7C56" w:rsidRPr="00693CA8" w:rsidRDefault="004B7C56" w:rsidP="004B7C56">
      <w:pPr>
        <w:rPr>
          <w:rFonts w:ascii="Gill Sans MT" w:eastAsiaTheme="minorHAnsi" w:hAnsi="Gill Sans MT" w:cs="Times New Roman"/>
          <w:lang w:val="es-ES"/>
        </w:rPr>
      </w:pPr>
      <w:r>
        <w:rPr>
          <w:rFonts w:ascii="Gill Sans MT" w:eastAsiaTheme="minorHAnsi" w:hAnsi="Gill Sans MT" w:cs="Times New Roman"/>
          <w:lang w:val="es"/>
        </w:rPr>
        <w:t xml:space="preserve">El constante crecimiento de Domino se basa en un compromiso incomparable con el desarrollo de productos. Domino se complace de haber recibido seis galardones Queen’s Award, el último en abril de 2017, que premió a la empresa por su innovación. Cabe destacar que Domino también fue galardonada en la categoría de 'Excelencia operativa' en los premios The Manufacturer MX de 2018. </w:t>
      </w:r>
    </w:p>
    <w:p w14:paraId="467DAEDE" w14:textId="77777777" w:rsidR="004B7C56" w:rsidRPr="00693CA8" w:rsidRDefault="004B7C56" w:rsidP="004B7C56">
      <w:pPr>
        <w:rPr>
          <w:rFonts w:ascii="Gill Sans MT" w:eastAsiaTheme="minorHAnsi" w:hAnsi="Gill Sans MT" w:cs="Times New Roman"/>
          <w:lang w:val="es-ES"/>
        </w:rPr>
      </w:pPr>
    </w:p>
    <w:p w14:paraId="5EAA4640" w14:textId="77777777" w:rsidR="004B7C56" w:rsidRPr="00693CA8" w:rsidRDefault="004B7C56" w:rsidP="004B7C56">
      <w:pPr>
        <w:rPr>
          <w:rFonts w:ascii="Gill Sans MT" w:eastAsiaTheme="minorHAnsi" w:hAnsi="Gill Sans MT" w:cs="Times New Roman"/>
          <w:lang w:val="es-ES"/>
        </w:rPr>
      </w:pPr>
      <w:r>
        <w:rPr>
          <w:rFonts w:ascii="Gill Sans MT" w:eastAsiaTheme="minorHAnsi" w:hAnsi="Gill Sans MT" w:cs="Times New Roman"/>
          <w:lang w:val="es"/>
        </w:rPr>
        <w:t xml:space="preserve">Domino pasó a ser una división autónoma de Brother Industries Ltd. el pasado 11 de junio de 2015. </w:t>
      </w:r>
    </w:p>
    <w:p w14:paraId="4555E9A7" w14:textId="77777777" w:rsidR="004B7C56" w:rsidRPr="00693CA8" w:rsidRDefault="004B7C56" w:rsidP="004B7C56">
      <w:pPr>
        <w:rPr>
          <w:rFonts w:ascii="Gill Sans MT" w:hAnsi="Gill Sans MT" w:cs="Times New Roman"/>
          <w:szCs w:val="24"/>
          <w:lang w:val="es-ES"/>
        </w:rPr>
      </w:pPr>
    </w:p>
    <w:p w14:paraId="0BF194CC" w14:textId="3696E191" w:rsidR="004B7C56" w:rsidRPr="00693CA8" w:rsidRDefault="004B7C56" w:rsidP="004B7C56">
      <w:pPr>
        <w:rPr>
          <w:rFonts w:ascii="Gill Sans MT" w:hAnsi="Gill Sans MT" w:cs="Times New Roman"/>
          <w:color w:val="323133"/>
          <w:szCs w:val="24"/>
          <w:lang w:val="es-ES"/>
        </w:rPr>
      </w:pPr>
      <w:r>
        <w:rPr>
          <w:rFonts w:ascii="Gill Sans MT" w:hAnsi="Gill Sans MT" w:cs="Times New Roman"/>
          <w:szCs w:val="24"/>
          <w:lang w:val="es"/>
        </w:rPr>
        <w:t xml:space="preserve">Para obtener más información sobre Domino, visite </w:t>
      </w:r>
      <w:hyperlink r:id="rId8" w:history="1">
        <w:r>
          <w:rPr>
            <w:rStyle w:val="Hyperlink"/>
            <w:rFonts w:ascii="Gill Sans MT" w:hAnsi="Gill Sans MT" w:cs="Times New Roman"/>
            <w:szCs w:val="24"/>
            <w:lang w:val="es"/>
          </w:rPr>
          <w:t>www.domino-spain.com</w:t>
        </w:r>
      </w:hyperlink>
      <w:bookmarkStart w:id="4" w:name="_GoBack"/>
      <w:bookmarkEnd w:id="4"/>
      <w:r>
        <w:rPr>
          <w:rFonts w:ascii="Gill Sans MT" w:hAnsi="Gill Sans MT" w:cs="Times New Roman"/>
          <w:szCs w:val="24"/>
          <w:lang w:val="es"/>
        </w:rPr>
        <w:t xml:space="preserve">. </w:t>
      </w:r>
    </w:p>
    <w:p w14:paraId="4DE60384" w14:textId="77777777" w:rsidR="004B7C56" w:rsidRPr="00693CA8" w:rsidRDefault="004B7C56" w:rsidP="004B7C56">
      <w:pPr>
        <w:rPr>
          <w:rFonts w:ascii="Times New Roman" w:eastAsiaTheme="minorHAnsi" w:hAnsi="Times New Roman" w:cs="Times New Roman"/>
          <w:color w:val="323133"/>
          <w:lang w:val="es-ES"/>
        </w:rPr>
      </w:pPr>
    </w:p>
    <w:p w14:paraId="0C21BBA5" w14:textId="77777777" w:rsidR="004B7C56" w:rsidRPr="00693CA8" w:rsidRDefault="004B7C56" w:rsidP="004B7C56">
      <w:pPr>
        <w:rPr>
          <w:rFonts w:ascii="Gill Sans MT" w:hAnsi="Gill Sans MT" w:cs="Times New Roman"/>
          <w:b/>
          <w:color w:val="000000" w:themeColor="text1"/>
          <w:szCs w:val="24"/>
          <w:lang w:val="es-ES"/>
        </w:rPr>
      </w:pPr>
      <w:r>
        <w:rPr>
          <w:rFonts w:ascii="Gill Sans MT" w:hAnsi="Gill Sans MT" w:cs="Times New Roman"/>
          <w:b/>
          <w:bCs/>
          <w:color w:val="000000" w:themeColor="text1"/>
          <w:szCs w:val="24"/>
          <w:lang w:val="es"/>
        </w:rPr>
        <w:t>Publicado en nombre de Domino por Neo PR Limited</w:t>
      </w:r>
    </w:p>
    <w:p w14:paraId="05285082" w14:textId="77777777" w:rsidR="004B7C56" w:rsidRPr="00693CA8" w:rsidRDefault="004B7C56" w:rsidP="004B7C56">
      <w:pPr>
        <w:jc w:val="both"/>
        <w:rPr>
          <w:rFonts w:ascii="Gill Sans MT" w:hAnsi="Gill Sans MT" w:cs="Times New Roman"/>
          <w:b/>
          <w:color w:val="000000" w:themeColor="text1"/>
          <w:szCs w:val="24"/>
          <w:lang w:val="es-ES"/>
        </w:rPr>
      </w:pPr>
    </w:p>
    <w:p w14:paraId="76A53B1A" w14:textId="77777777" w:rsidR="004B7C56" w:rsidRPr="00693CA8" w:rsidRDefault="004B7C56" w:rsidP="004B7C56">
      <w:pPr>
        <w:jc w:val="both"/>
        <w:rPr>
          <w:rFonts w:ascii="Gill Sans MT" w:hAnsi="Gill Sans MT" w:cs="Times New Roman"/>
          <w:b/>
          <w:color w:val="000000" w:themeColor="text1"/>
          <w:szCs w:val="24"/>
          <w:lang w:val="es-ES"/>
        </w:rPr>
      </w:pPr>
      <w:r>
        <w:rPr>
          <w:rFonts w:ascii="Gill Sans MT" w:hAnsi="Gill Sans MT" w:cs="Times New Roman"/>
          <w:b/>
          <w:bCs/>
          <w:color w:val="000000" w:themeColor="text1"/>
          <w:szCs w:val="24"/>
          <w:lang w:val="es"/>
        </w:rPr>
        <w:t>Para obtener más información, póngase en contacto con:</w:t>
      </w:r>
    </w:p>
    <w:p w14:paraId="3BD95745" w14:textId="77777777" w:rsidR="004B7C56" w:rsidRPr="00693CA8" w:rsidRDefault="004B7C56" w:rsidP="004B7C56">
      <w:pPr>
        <w:jc w:val="both"/>
        <w:rPr>
          <w:rFonts w:ascii="Gill Sans MT" w:hAnsi="Gill Sans MT" w:cs="Times New Roman"/>
          <w:color w:val="323133"/>
          <w:szCs w:val="24"/>
          <w:lang w:val="es-ES"/>
        </w:rPr>
      </w:pPr>
    </w:p>
    <w:p w14:paraId="1BF5D19A" w14:textId="77777777" w:rsidR="004B7C56" w:rsidRPr="00693CA8" w:rsidRDefault="004B7C56" w:rsidP="004B7C56">
      <w:pPr>
        <w:tabs>
          <w:tab w:val="left" w:pos="3969"/>
        </w:tabs>
        <w:jc w:val="both"/>
        <w:rPr>
          <w:rFonts w:ascii="Gill Sans MT" w:hAnsi="Gill Sans MT" w:cs="Times New Roman"/>
          <w:szCs w:val="24"/>
          <w:lang w:val="es-ES"/>
        </w:rPr>
      </w:pPr>
      <w:r>
        <w:rPr>
          <w:rFonts w:ascii="Gill Sans MT" w:hAnsi="Gill Sans MT" w:cs="Times New Roman"/>
          <w:szCs w:val="24"/>
          <w:lang w:val="es"/>
        </w:rPr>
        <w:t xml:space="preserve">Laura Carr                                    </w:t>
      </w:r>
      <w:r>
        <w:rPr>
          <w:rFonts w:ascii="Gill Sans MT" w:hAnsi="Gill Sans MT" w:cs="Times New Roman"/>
          <w:szCs w:val="24"/>
          <w:lang w:val="es"/>
        </w:rPr>
        <w:tab/>
        <w:t>Rebecca Whitwham</w:t>
      </w:r>
    </w:p>
    <w:p w14:paraId="4076CB20" w14:textId="77777777" w:rsidR="004B7C56" w:rsidRPr="00693CA8" w:rsidRDefault="004B7C56" w:rsidP="004B7C56">
      <w:pPr>
        <w:tabs>
          <w:tab w:val="left" w:pos="3969"/>
        </w:tabs>
        <w:jc w:val="both"/>
        <w:rPr>
          <w:rFonts w:ascii="Gill Sans MT" w:hAnsi="Gill Sans MT" w:cs="Times New Roman"/>
          <w:szCs w:val="24"/>
          <w:lang w:val="es-ES"/>
        </w:rPr>
      </w:pPr>
      <w:r>
        <w:rPr>
          <w:rFonts w:ascii="Gill Sans MT" w:hAnsi="Gill Sans MT" w:cs="Times New Roman"/>
          <w:szCs w:val="24"/>
          <w:lang w:val="es"/>
        </w:rPr>
        <w:t xml:space="preserve">Gerente de cuentas                         </w:t>
      </w:r>
      <w:r>
        <w:rPr>
          <w:rFonts w:ascii="Gill Sans MT" w:hAnsi="Gill Sans MT" w:cs="Times New Roman"/>
          <w:szCs w:val="24"/>
          <w:lang w:val="es"/>
        </w:rPr>
        <w:tab/>
        <w:t>Ejecutiva de marketing, contenidos y RR. PP.</w:t>
      </w:r>
    </w:p>
    <w:p w14:paraId="285B5DB9" w14:textId="77777777" w:rsidR="004B7C56" w:rsidRDefault="004B7C56" w:rsidP="004B7C56">
      <w:pPr>
        <w:tabs>
          <w:tab w:val="left" w:pos="3969"/>
        </w:tabs>
        <w:jc w:val="both"/>
        <w:rPr>
          <w:rFonts w:ascii="Gill Sans MT" w:hAnsi="Gill Sans MT" w:cs="Times New Roman"/>
          <w:szCs w:val="24"/>
        </w:rPr>
      </w:pPr>
      <w:r>
        <w:rPr>
          <w:rFonts w:ascii="Gill Sans MT" w:hAnsi="Gill Sans MT" w:cs="Times New Roman"/>
          <w:szCs w:val="24"/>
          <w:lang w:val="es"/>
        </w:rPr>
        <w:t xml:space="preserve">AD Communications                    </w:t>
      </w:r>
      <w:r>
        <w:rPr>
          <w:rFonts w:ascii="Gill Sans MT" w:hAnsi="Gill Sans MT" w:cs="Times New Roman"/>
          <w:szCs w:val="24"/>
          <w:lang w:val="es"/>
        </w:rPr>
        <w:tab/>
        <w:t>Domino Printing Sciences</w:t>
      </w:r>
    </w:p>
    <w:p w14:paraId="5427468A" w14:textId="77777777" w:rsidR="004B7C56" w:rsidRPr="00E04B2A" w:rsidRDefault="004B7C56" w:rsidP="004B7C56">
      <w:pPr>
        <w:tabs>
          <w:tab w:val="left" w:pos="3969"/>
        </w:tabs>
        <w:jc w:val="both"/>
        <w:rPr>
          <w:rFonts w:ascii="Gill Sans MT" w:hAnsi="Gill Sans MT" w:cs="Times New Roman"/>
          <w:lang w:val="de-DE"/>
        </w:rPr>
      </w:pPr>
      <w:r w:rsidRPr="00E04B2A">
        <w:rPr>
          <w:rFonts w:ascii="Gill Sans MT" w:hAnsi="Gill Sans MT"/>
          <w:color w:val="000000" w:themeColor="text1"/>
          <w:lang w:val="en"/>
        </w:rPr>
        <w:t>Tel</w:t>
      </w:r>
      <w:r>
        <w:rPr>
          <w:rFonts w:ascii="Gill Sans MT" w:hAnsi="Gill Sans MT"/>
          <w:color w:val="000000" w:themeColor="text1"/>
          <w:lang w:val="en"/>
        </w:rPr>
        <w:t>.</w:t>
      </w:r>
      <w:r w:rsidRPr="00E04B2A">
        <w:rPr>
          <w:rFonts w:ascii="Gill Sans MT" w:hAnsi="Gill Sans MT"/>
          <w:color w:val="000000" w:themeColor="text1"/>
          <w:lang w:val="en"/>
        </w:rPr>
        <w:t>: +44 (0)1296 733867</w:t>
      </w:r>
      <w:r w:rsidRPr="00E04B2A">
        <w:rPr>
          <w:rFonts w:ascii="Gill Sans MT" w:hAnsi="Gill Sans MT" w:cs="Times New Roman"/>
          <w:color w:val="000000" w:themeColor="text1"/>
          <w:lang w:val="de-DE"/>
        </w:rPr>
        <w:t xml:space="preserve">             </w:t>
      </w:r>
      <w:r w:rsidRPr="00E04B2A">
        <w:rPr>
          <w:rFonts w:ascii="Gill Sans MT" w:hAnsi="Gill Sans MT" w:cs="Times New Roman"/>
          <w:lang w:val="de-DE"/>
        </w:rPr>
        <w:t xml:space="preserve"> </w:t>
      </w:r>
      <w:r w:rsidRPr="00E04B2A">
        <w:rPr>
          <w:rFonts w:ascii="Gill Sans MT" w:hAnsi="Gill Sans MT" w:cs="Times New Roman"/>
          <w:lang w:val="de-DE"/>
        </w:rPr>
        <w:tab/>
        <w:t>T</w:t>
      </w:r>
      <w:r>
        <w:rPr>
          <w:rFonts w:ascii="Gill Sans MT" w:hAnsi="Gill Sans MT" w:cs="Times New Roman"/>
          <w:lang w:val="de-DE"/>
        </w:rPr>
        <w:t>el.</w:t>
      </w:r>
      <w:r w:rsidRPr="00E04B2A">
        <w:rPr>
          <w:rFonts w:ascii="Gill Sans MT" w:hAnsi="Gill Sans MT" w:cs="Times New Roman"/>
          <w:lang w:val="de-DE"/>
        </w:rPr>
        <w:t>: +44 (0) 1954 782551</w:t>
      </w:r>
    </w:p>
    <w:p w14:paraId="01CA0F27" w14:textId="77777777" w:rsidR="004B7C56" w:rsidRPr="007644CB" w:rsidRDefault="004B7C56" w:rsidP="004B7C56">
      <w:pPr>
        <w:tabs>
          <w:tab w:val="left" w:pos="3969"/>
        </w:tabs>
        <w:jc w:val="both"/>
        <w:rPr>
          <w:rFonts w:ascii="Gill Sans MT" w:hAnsi="Gill Sans MT" w:cs="Gill Sans MT"/>
          <w:color w:val="FF0000"/>
          <w:sz w:val="22"/>
          <w:szCs w:val="22"/>
        </w:rPr>
      </w:pPr>
      <w:hyperlink r:id="rId9" w:history="1">
        <w:r w:rsidRPr="00E04B2A">
          <w:rPr>
            <w:rStyle w:val="Hyperlink"/>
            <w:rFonts w:ascii="Gill Sans MT" w:hAnsi="Gill Sans MT" w:cs="Arial"/>
            <w:lang w:val="de-DE"/>
          </w:rPr>
          <w:t>laura@neopr.co.uk</w:t>
        </w:r>
      </w:hyperlink>
      <w:r w:rsidRPr="00693CA8">
        <w:tab/>
      </w:r>
      <w:hyperlink r:id="rId10" w:history="1">
        <w:r w:rsidRPr="00693CA8">
          <w:rPr>
            <w:rStyle w:val="Hyperlink"/>
            <w:rFonts w:ascii="Gill Sans MT" w:hAnsi="Gill Sans MT" w:cs="Arial"/>
            <w:szCs w:val="24"/>
          </w:rPr>
          <w:t>rebecca.whitwham@domino-uk.com</w:t>
        </w:r>
      </w:hyperlink>
      <w:bookmarkEnd w:id="3"/>
      <w:r>
        <w:rPr>
          <w:lang w:val="es"/>
        </w:rPr>
        <w:fldChar w:fldCharType="begin"/>
      </w:r>
      <w:r w:rsidRPr="00693CA8">
        <w:instrText xml:space="preserve"> HYPERLINK "mailto:sheila.richardson@domino-uk.com" </w:instrText>
      </w:r>
      <w:r>
        <w:rPr>
          <w:lang w:val="es"/>
        </w:rPr>
        <w:fldChar w:fldCharType="end"/>
      </w:r>
      <w:r w:rsidRPr="00693CA8">
        <w:tab/>
      </w:r>
    </w:p>
    <w:p w14:paraId="13605B56" w14:textId="77777777" w:rsidR="00795832" w:rsidRPr="000F27F2" w:rsidRDefault="00795832">
      <w:pPr>
        <w:rPr>
          <w:rFonts w:ascii="Gill Sans MT" w:hAnsi="Gill Sans MT"/>
          <w:sz w:val="22"/>
          <w:szCs w:val="22"/>
        </w:rPr>
      </w:pPr>
    </w:p>
    <w:sectPr w:rsidR="00795832" w:rsidRPr="000F27F2" w:rsidSect="00E563B3">
      <w:headerReference w:type="default" r:id="rId11"/>
      <w:footerReference w:type="default" r:id="rId12"/>
      <w:pgSz w:w="11906" w:h="16838"/>
      <w:pgMar w:top="993" w:right="849" w:bottom="1440" w:left="1134" w:header="708" w:footer="6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8DEE" w14:textId="77777777" w:rsidR="00E563B3" w:rsidRDefault="00E563B3" w:rsidP="00E563B3">
      <w:r>
        <w:separator/>
      </w:r>
    </w:p>
  </w:endnote>
  <w:endnote w:type="continuationSeparator" w:id="0">
    <w:p w14:paraId="4AEE8A25" w14:textId="77777777" w:rsidR="00E563B3" w:rsidRDefault="00E563B3" w:rsidP="00E5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10FC" w14:textId="1AA75F36" w:rsidR="00E563B3" w:rsidRDefault="00E563B3">
    <w:pPr>
      <w:pStyle w:val="Footer"/>
    </w:pPr>
    <w:r>
      <w:rPr>
        <w:rFonts w:ascii="Gill Sans MT" w:hAnsi="Gill Sans MT"/>
        <w:i/>
        <w:noProof/>
        <w:sz w:val="16"/>
        <w:szCs w:val="16"/>
      </w:rPr>
      <w:drawing>
        <wp:inline distT="0" distB="0" distL="0" distR="0" wp14:anchorId="21FC560A" wp14:editId="25FC98D6">
          <wp:extent cx="6301105" cy="1083310"/>
          <wp:effectExtent l="0" t="0" r="4445" b="2540"/>
          <wp:docPr id="2" name="Picture 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1083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6F0A1" w14:textId="77777777" w:rsidR="00E563B3" w:rsidRDefault="00E563B3" w:rsidP="00E563B3">
      <w:r>
        <w:separator/>
      </w:r>
    </w:p>
  </w:footnote>
  <w:footnote w:type="continuationSeparator" w:id="0">
    <w:p w14:paraId="651EDD6A" w14:textId="77777777" w:rsidR="00E563B3" w:rsidRDefault="00E563B3" w:rsidP="00E5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BD67" w14:textId="2EACFFB9" w:rsidR="00E563B3" w:rsidRDefault="00E563B3">
    <w:pPr>
      <w:pStyle w:val="Header"/>
    </w:pPr>
    <w:r>
      <w:rPr>
        <w:noProof/>
      </w:rPr>
      <w:drawing>
        <wp:anchor distT="0" distB="0" distL="114300" distR="114300" simplePos="0" relativeHeight="251659264" behindDoc="0" locked="0" layoutInCell="1" allowOverlap="1" wp14:anchorId="498C01F6" wp14:editId="3DDB21AB">
          <wp:simplePos x="0" y="0"/>
          <wp:positionH relativeFrom="column">
            <wp:posOffset>0</wp:posOffset>
          </wp:positionH>
          <wp:positionV relativeFrom="paragraph">
            <wp:posOffset>151765</wp:posOffset>
          </wp:positionV>
          <wp:extent cx="2087245" cy="638175"/>
          <wp:effectExtent l="0" t="0" r="0" b="0"/>
          <wp:wrapSquare wrapText="bothSides"/>
          <wp:docPr id="1"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B109E" w14:textId="77777777" w:rsidR="00E563B3" w:rsidRDefault="00E56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D4"/>
    <w:rsid w:val="000213A5"/>
    <w:rsid w:val="000D075B"/>
    <w:rsid w:val="000F18CD"/>
    <w:rsid w:val="000F27F2"/>
    <w:rsid w:val="000F3523"/>
    <w:rsid w:val="00101FC3"/>
    <w:rsid w:val="001452DC"/>
    <w:rsid w:val="001571ED"/>
    <w:rsid w:val="001612DC"/>
    <w:rsid w:val="00166EEC"/>
    <w:rsid w:val="00175D13"/>
    <w:rsid w:val="00195EF1"/>
    <w:rsid w:val="001D7242"/>
    <w:rsid w:val="001F7CFC"/>
    <w:rsid w:val="00206B5B"/>
    <w:rsid w:val="00233F5C"/>
    <w:rsid w:val="002A50FD"/>
    <w:rsid w:val="0030259E"/>
    <w:rsid w:val="003025A4"/>
    <w:rsid w:val="00336428"/>
    <w:rsid w:val="00350E31"/>
    <w:rsid w:val="003720AC"/>
    <w:rsid w:val="003A73E5"/>
    <w:rsid w:val="003B2B1C"/>
    <w:rsid w:val="003B57C4"/>
    <w:rsid w:val="003C04F5"/>
    <w:rsid w:val="003C43AB"/>
    <w:rsid w:val="00405738"/>
    <w:rsid w:val="00436784"/>
    <w:rsid w:val="00462E86"/>
    <w:rsid w:val="00475A46"/>
    <w:rsid w:val="004B32CD"/>
    <w:rsid w:val="004B7C56"/>
    <w:rsid w:val="004E6939"/>
    <w:rsid w:val="004F0247"/>
    <w:rsid w:val="0054397A"/>
    <w:rsid w:val="00555195"/>
    <w:rsid w:val="005836F3"/>
    <w:rsid w:val="00597A53"/>
    <w:rsid w:val="005E449E"/>
    <w:rsid w:val="006117FB"/>
    <w:rsid w:val="006158EE"/>
    <w:rsid w:val="0066470B"/>
    <w:rsid w:val="00670A3F"/>
    <w:rsid w:val="00672B5C"/>
    <w:rsid w:val="006E7319"/>
    <w:rsid w:val="00700D07"/>
    <w:rsid w:val="00711C25"/>
    <w:rsid w:val="00725080"/>
    <w:rsid w:val="007448D7"/>
    <w:rsid w:val="007653D4"/>
    <w:rsid w:val="00772AAA"/>
    <w:rsid w:val="00795832"/>
    <w:rsid w:val="00800607"/>
    <w:rsid w:val="00806FE9"/>
    <w:rsid w:val="0081771D"/>
    <w:rsid w:val="00837C76"/>
    <w:rsid w:val="00844336"/>
    <w:rsid w:val="008675E8"/>
    <w:rsid w:val="008705C5"/>
    <w:rsid w:val="00875822"/>
    <w:rsid w:val="00880A64"/>
    <w:rsid w:val="008C3F7B"/>
    <w:rsid w:val="008D0BC9"/>
    <w:rsid w:val="00906284"/>
    <w:rsid w:val="009135E0"/>
    <w:rsid w:val="00954C16"/>
    <w:rsid w:val="00964719"/>
    <w:rsid w:val="009D0D63"/>
    <w:rsid w:val="00A62E36"/>
    <w:rsid w:val="00A64CCF"/>
    <w:rsid w:val="00A708FF"/>
    <w:rsid w:val="00A90E6B"/>
    <w:rsid w:val="00AB1CEF"/>
    <w:rsid w:val="00AE19F7"/>
    <w:rsid w:val="00AF0D78"/>
    <w:rsid w:val="00AF37B3"/>
    <w:rsid w:val="00B3227E"/>
    <w:rsid w:val="00B44C35"/>
    <w:rsid w:val="00B64E0E"/>
    <w:rsid w:val="00B6525E"/>
    <w:rsid w:val="00B90A47"/>
    <w:rsid w:val="00BE1B73"/>
    <w:rsid w:val="00BF4C88"/>
    <w:rsid w:val="00BF4FCC"/>
    <w:rsid w:val="00C10969"/>
    <w:rsid w:val="00C51C2B"/>
    <w:rsid w:val="00C63142"/>
    <w:rsid w:val="00CB1666"/>
    <w:rsid w:val="00D141F5"/>
    <w:rsid w:val="00D55EAD"/>
    <w:rsid w:val="00D842DB"/>
    <w:rsid w:val="00D95535"/>
    <w:rsid w:val="00DC116A"/>
    <w:rsid w:val="00E16164"/>
    <w:rsid w:val="00E563B3"/>
    <w:rsid w:val="00E65537"/>
    <w:rsid w:val="00EA1397"/>
    <w:rsid w:val="00EE6FD6"/>
    <w:rsid w:val="00F17221"/>
    <w:rsid w:val="00F561BF"/>
    <w:rsid w:val="00F95304"/>
    <w:rsid w:val="00FA6B99"/>
    <w:rsid w:val="00FD148B"/>
    <w:rsid w:val="00FE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E7904"/>
  <w15:chartTrackingRefBased/>
  <w15:docId w15:val="{AC5AE117-789E-4ED6-B510-B000EB6C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53D4"/>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7B3"/>
    <w:rPr>
      <w:color w:val="0563C1" w:themeColor="hyperlink"/>
      <w:u w:val="single"/>
    </w:rPr>
  </w:style>
  <w:style w:type="character" w:customStyle="1" w:styleId="UnresolvedMention1">
    <w:name w:val="Unresolved Mention1"/>
    <w:basedOn w:val="DefaultParagraphFont"/>
    <w:uiPriority w:val="99"/>
    <w:semiHidden/>
    <w:unhideWhenUsed/>
    <w:rsid w:val="00AF37B3"/>
    <w:rPr>
      <w:color w:val="605E5C"/>
      <w:shd w:val="clear" w:color="auto" w:fill="E1DFDD"/>
    </w:rPr>
  </w:style>
  <w:style w:type="character" w:styleId="CommentReference">
    <w:name w:val="annotation reference"/>
    <w:basedOn w:val="DefaultParagraphFont"/>
    <w:uiPriority w:val="99"/>
    <w:semiHidden/>
    <w:unhideWhenUsed/>
    <w:rsid w:val="00AF0D78"/>
    <w:rPr>
      <w:sz w:val="16"/>
      <w:szCs w:val="16"/>
    </w:rPr>
  </w:style>
  <w:style w:type="paragraph" w:styleId="CommentText">
    <w:name w:val="annotation text"/>
    <w:basedOn w:val="Normal"/>
    <w:link w:val="CommentTextChar"/>
    <w:uiPriority w:val="99"/>
    <w:unhideWhenUsed/>
    <w:rsid w:val="00AF0D78"/>
  </w:style>
  <w:style w:type="character" w:customStyle="1" w:styleId="CommentTextChar">
    <w:name w:val="Comment Text Char"/>
    <w:basedOn w:val="DefaultParagraphFont"/>
    <w:link w:val="CommentText"/>
    <w:uiPriority w:val="99"/>
    <w:rsid w:val="00AF0D78"/>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AF0D78"/>
    <w:rPr>
      <w:b/>
      <w:bCs/>
    </w:rPr>
  </w:style>
  <w:style w:type="character" w:customStyle="1" w:styleId="CommentSubjectChar">
    <w:name w:val="Comment Subject Char"/>
    <w:basedOn w:val="CommentTextChar"/>
    <w:link w:val="CommentSubject"/>
    <w:uiPriority w:val="99"/>
    <w:semiHidden/>
    <w:rsid w:val="00AF0D78"/>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AF0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8"/>
    <w:rPr>
      <w:rFonts w:ascii="Segoe UI" w:eastAsia="Times New Roman" w:hAnsi="Segoe UI" w:cs="Segoe UI"/>
      <w:sz w:val="18"/>
      <w:szCs w:val="18"/>
    </w:rPr>
  </w:style>
  <w:style w:type="paragraph" w:styleId="Revision">
    <w:name w:val="Revision"/>
    <w:hidden/>
    <w:uiPriority w:val="99"/>
    <w:semiHidden/>
    <w:rsid w:val="00837C76"/>
    <w:pPr>
      <w:spacing w:after="0" w:line="240" w:lineRule="auto"/>
    </w:pPr>
    <w:rPr>
      <w:rFonts w:ascii="Verdana" w:eastAsia="Times New Roman" w:hAnsi="Verdana" w:cs="Verdana"/>
      <w:sz w:val="20"/>
      <w:szCs w:val="20"/>
    </w:rPr>
  </w:style>
  <w:style w:type="table" w:styleId="TableGrid">
    <w:name w:val="Table Grid"/>
    <w:basedOn w:val="TableNormal"/>
    <w:uiPriority w:val="39"/>
    <w:rsid w:val="008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213A5"/>
    <w:pPr>
      <w:autoSpaceDE w:val="0"/>
      <w:autoSpaceDN w:val="0"/>
      <w:adjustRightInd w:val="0"/>
      <w:spacing w:line="191" w:lineRule="atLeast"/>
    </w:pPr>
    <w:rPr>
      <w:rFonts w:ascii="GillSans Light" w:eastAsiaTheme="minorHAnsi" w:hAnsi="GillSans Light" w:cstheme="minorBidi"/>
      <w:sz w:val="24"/>
      <w:szCs w:val="24"/>
    </w:rPr>
  </w:style>
  <w:style w:type="paragraph" w:styleId="Header">
    <w:name w:val="header"/>
    <w:basedOn w:val="Normal"/>
    <w:link w:val="HeaderChar"/>
    <w:uiPriority w:val="99"/>
    <w:unhideWhenUsed/>
    <w:rsid w:val="00E563B3"/>
    <w:pPr>
      <w:tabs>
        <w:tab w:val="center" w:pos="4513"/>
        <w:tab w:val="right" w:pos="9026"/>
      </w:tabs>
    </w:pPr>
  </w:style>
  <w:style w:type="character" w:customStyle="1" w:styleId="HeaderChar">
    <w:name w:val="Header Char"/>
    <w:basedOn w:val="DefaultParagraphFont"/>
    <w:link w:val="Header"/>
    <w:uiPriority w:val="99"/>
    <w:rsid w:val="00E563B3"/>
    <w:rPr>
      <w:rFonts w:ascii="Verdana" w:eastAsia="Times New Roman" w:hAnsi="Verdana" w:cs="Verdana"/>
      <w:sz w:val="20"/>
      <w:szCs w:val="20"/>
    </w:rPr>
  </w:style>
  <w:style w:type="paragraph" w:styleId="Footer">
    <w:name w:val="footer"/>
    <w:basedOn w:val="Normal"/>
    <w:link w:val="FooterChar"/>
    <w:uiPriority w:val="99"/>
    <w:unhideWhenUsed/>
    <w:rsid w:val="00E563B3"/>
    <w:pPr>
      <w:tabs>
        <w:tab w:val="center" w:pos="4513"/>
        <w:tab w:val="right" w:pos="9026"/>
      </w:tabs>
    </w:pPr>
  </w:style>
  <w:style w:type="character" w:customStyle="1" w:styleId="FooterChar">
    <w:name w:val="Footer Char"/>
    <w:basedOn w:val="DefaultParagraphFont"/>
    <w:link w:val="Footer"/>
    <w:uiPriority w:val="99"/>
    <w:rsid w:val="00E563B3"/>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spai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domino-printing.com/inks-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becca.whitwham@domino-uk.com" TargetMode="External"/><Relationship Id="rId4" Type="http://schemas.openxmlformats.org/officeDocument/2006/relationships/webSettings" Target="webSettings.xml"/><Relationship Id="rId9" Type="http://schemas.openxmlformats.org/officeDocument/2006/relationships/hyperlink" Target="mailto:laura@neopr.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D71C-05C2-41F4-80DB-7BD2E02F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dc:description/>
  <cp:lastModifiedBy>Rebecca Whitwham</cp:lastModifiedBy>
  <cp:revision>5</cp:revision>
  <cp:lastPrinted>2019-04-12T14:11:00Z</cp:lastPrinted>
  <dcterms:created xsi:type="dcterms:W3CDTF">2019-05-10T12:54:00Z</dcterms:created>
  <dcterms:modified xsi:type="dcterms:W3CDTF">2019-07-18T10:18:00Z</dcterms:modified>
</cp:coreProperties>
</file>