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D371D" w14:textId="789123B4" w:rsidR="005524DB" w:rsidRPr="007450E5" w:rsidRDefault="00224D20" w:rsidP="008C2F98">
      <w:pPr>
        <w:spacing w:before="120" w:after="120"/>
        <w:rPr>
          <w:rFonts w:ascii="Noto Sans" w:hAnsi="Noto Sans" w:cs="Noto Sans"/>
          <w:b/>
          <w:bCs/>
          <w:sz w:val="24"/>
          <w:szCs w:val="24"/>
          <w:lang w:val="es-ES"/>
        </w:rPr>
      </w:pPr>
      <w:r w:rsidRPr="007450E5">
        <w:rPr>
          <w:rFonts w:ascii="Noto Sans" w:hAnsi="Noto Sans" w:cs="Noto Sans"/>
          <w:b/>
          <w:bCs/>
          <w:sz w:val="24"/>
          <w:szCs w:val="24"/>
          <w:lang w:val="pt"/>
        </w:rPr>
        <w:t>A Domino prepara-se para apoiar os clientes com requisitos de códigos 2D mais rigorosos nas indústrias reguladas</w:t>
      </w:r>
    </w:p>
    <w:p w14:paraId="6B83C378" w14:textId="15BA2BF2" w:rsidR="009B5547" w:rsidRPr="009B6987" w:rsidRDefault="005709CF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O cenário regulamentar global da etiquetagem de produtos para o consumidor está em constante alteração, com um número crescente de indústrias a adotar os códigos 2D, no sentido de aumentar a transparência e a rastreabilidade, e combater o risco de contrafação de produtos. Face a esta realidade, a </w:t>
      </w:r>
      <w:hyperlink r:id="rId7" w:history="1">
        <w:r w:rsidRPr="007450E5">
          <w:rPr>
            <w:rStyle w:val="Hyperlink"/>
            <w:rFonts w:ascii="Noto Sans" w:hAnsi="Noto Sans" w:cs="Noto Sans"/>
            <w:sz w:val="20"/>
            <w:szCs w:val="20"/>
            <w:lang w:val="pt"/>
          </w:rPr>
          <w:t>Domino Printing Sciences (Domino)</w:t>
        </w:r>
      </w:hyperlink>
      <w:r>
        <w:rPr>
          <w:rFonts w:ascii="Noto Sans" w:hAnsi="Noto Sans" w:cs="Noto Sans"/>
          <w:sz w:val="20"/>
          <w:szCs w:val="20"/>
          <w:lang w:val="pt"/>
        </w:rPr>
        <w:t xml:space="preserve"> prepara-se para ajudar os seus clientes de fabrico global a percorrer os requisitos regulamentares dos códigos 2D nas diferentes indústrias. </w:t>
      </w:r>
    </w:p>
    <w:p w14:paraId="5756EF1F" w14:textId="1C4E381C" w:rsidR="00717DCB" w:rsidRPr="009B6987" w:rsidRDefault="009B5547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>«Enquanto líder global de soluções avançadas de impressão de dados variáveis, a Domino tem estado na vanguarda dos desenvolvimentos regulamentares que pressuponham a utilização de códigos 2D serializados, incluindo os dos setores farmacêuticos e do tabaco», afirma o novo Chefe dos Setores Regulados Globais, James Cutforth.</w:t>
      </w:r>
    </w:p>
    <w:p w14:paraId="14722014" w14:textId="28B3F78C" w:rsidR="00D140C0" w:rsidRPr="009B6987" w:rsidRDefault="009B5547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«Compreendemos que a velocidade e a fiabilidade são essenciais para os nossos clientes de produção, pelo que adotar os códigos 2D pode tornar-se um desafio significativo. Com o Sunrise 2027 da GS1 e requisitos de códigos 2D com regulação mais rigorosa no horizonte, estamos empenhados em trabalhar com os nossos clientes de produção global para compreender possíveis bloqueadores e desenvolver soluções que possam funcionar nas suas indústrias.» </w:t>
      </w:r>
    </w:p>
    <w:p w14:paraId="63A53621" w14:textId="008475E7" w:rsidR="00C92EFC" w:rsidRDefault="00124428" w:rsidP="008C2F98">
      <w:pPr>
        <w:spacing w:before="120" w:after="120"/>
        <w:rPr>
          <w:rFonts w:ascii="Noto Sans" w:hAnsi="Noto Sans" w:cs="Noto Sans"/>
          <w:sz w:val="20"/>
          <w:szCs w:val="20"/>
          <w:shd w:val="clear" w:color="auto" w:fill="FFFFFF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Os códigos 2D de dados variáveis avançados, incluindo Matriz de Dados e código QR, oferecem maior capacidade de dados e precisão comparativamente aos tradicionais códigos de barras 1D (lineares). Nas últimas décadas, assistimos a um crescimento dos requisitos regulamentares para códigos 2D para efeitos de segurança do consumidor, rastreabilidade e anticontrafação. A nível global, verificamos que atualmente diversas indústrias adotam requisitos mais rigorosos para os códigos 2D. Entre os setores regulamentados atuais incluem-se: </w:t>
      </w:r>
    </w:p>
    <w:p w14:paraId="17A215ED" w14:textId="0ACEB1EA" w:rsidR="00C92EFC" w:rsidRPr="009B6987" w:rsidRDefault="00C92EFC" w:rsidP="008C2F98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Noto Sans" w:hAnsi="Noto Sans" w:cs="Noto Sans"/>
          <w:sz w:val="20"/>
          <w:szCs w:val="20"/>
          <w:shd w:val="clear" w:color="auto" w:fill="FFFFFF"/>
          <w:lang w:val="es-ES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Indústria farmacêutica: </w:t>
      </w:r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 xml:space="preserve">Diretiva europeia dos medicamentos falsificados 2011/62 </w:t>
      </w:r>
      <w:hyperlink r:id="rId8" w:history="1"/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 xml:space="preserve">; Lei americana </w:t>
      </w:r>
      <w:hyperlink r:id="rId9" w:history="1">
        <w:r>
          <w:rPr>
            <w:rStyle w:val="Hyperlink"/>
            <w:rFonts w:ascii="Noto Sans" w:hAnsi="Noto Sans" w:cs="Noto Sans"/>
            <w:i/>
            <w:iCs/>
            <w:sz w:val="20"/>
            <w:szCs w:val="20"/>
            <w:shd w:val="clear" w:color="auto" w:fill="FFFFFF"/>
            <w:lang w:val="pt"/>
          </w:rPr>
          <w:t>Drug</w:t>
        </w:r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 xml:space="preserve"> Supply Chain Security Act (DSCSA)</w:t>
        </w:r>
      </w:hyperlink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 xml:space="preserve">; </w:t>
      </w:r>
      <w:hyperlink r:id="rId10" w:history="1"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>Regras relativas a fármacos (oitava alteração) de 2022 da Índia</w:t>
        </w:r>
      </w:hyperlink>
      <w:r>
        <w:rPr>
          <w:rFonts w:ascii="Noto Sans" w:hAnsi="Noto Sans" w:cs="Noto Sans"/>
          <w:b/>
          <w:bCs/>
          <w:sz w:val="20"/>
          <w:szCs w:val="20"/>
          <w:shd w:val="clear" w:color="auto" w:fill="FFFFFF"/>
          <w:lang w:val="pt"/>
        </w:rPr>
        <w:t>;</w:t>
      </w:r>
    </w:p>
    <w:p w14:paraId="0A2667F4" w14:textId="45D7C678" w:rsidR="00C92EFC" w:rsidRPr="009B6987" w:rsidRDefault="00C92EFC" w:rsidP="008C2F98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Noto Sans" w:hAnsi="Noto Sans" w:cs="Noto Sans"/>
          <w:sz w:val="20"/>
          <w:szCs w:val="20"/>
          <w:shd w:val="clear" w:color="auto" w:fill="FFFFFF"/>
          <w:lang w:val="es-ES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Dispositivos médicos: </w:t>
      </w:r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 xml:space="preserve">Regulamento europeu </w:t>
      </w:r>
      <w:hyperlink r:id="rId11" w:history="1"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>de dispositivos médicos 2017/745</w:t>
        </w:r>
      </w:hyperlink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>;</w:t>
      </w:r>
    </w:p>
    <w:p w14:paraId="7643EEF3" w14:textId="22DD7347" w:rsidR="00C92EFC" w:rsidRPr="009B6987" w:rsidRDefault="00C92EFC" w:rsidP="008C2F98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Noto Sans" w:hAnsi="Noto Sans" w:cs="Noto Sans"/>
          <w:sz w:val="20"/>
          <w:szCs w:val="20"/>
          <w:shd w:val="clear" w:color="auto" w:fill="FFFFFF"/>
          <w:lang w:val="es-ES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lastRenderedPageBreak/>
        <w:t xml:space="preserve">Produtos de tabaco: </w:t>
      </w:r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>Diretiva europeia</w:t>
      </w: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 </w:t>
      </w:r>
      <w:hyperlink r:id="rId12" w:history="1"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>relativa aos produtos de tabaco 2014/40</w:t>
        </w:r>
      </w:hyperlink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>;</w:t>
      </w:r>
    </w:p>
    <w:p w14:paraId="62AA4528" w14:textId="39617D5D" w:rsidR="00C92EFC" w:rsidRPr="00DE7E90" w:rsidRDefault="00C92EFC" w:rsidP="008C2F98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Noto Sans" w:hAnsi="Noto Sans" w:cs="Noto Sans"/>
          <w:sz w:val="20"/>
          <w:szCs w:val="20"/>
          <w:shd w:val="clear" w:color="auto" w:fill="FFFFFF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Produtos alimentares: </w:t>
      </w:r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>QR inteligente</w:t>
      </w: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 </w:t>
      </w:r>
      <w:hyperlink r:id="rId13" w:history="1"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>para alimentos na Coreia</w:t>
        </w:r>
      </w:hyperlink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; </w:t>
      </w:r>
      <w:hyperlink r:id="rId14" w:history="1"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>Lei 204 americana relativa à modernização da segurança alimentar?</w:t>
        </w:r>
      </w:hyperlink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 (recomendado); </w:t>
      </w:r>
    </w:p>
    <w:p w14:paraId="688A264E" w14:textId="0A85F7D7" w:rsidR="00C92EFC" w:rsidRPr="009B6987" w:rsidRDefault="00C92EFC" w:rsidP="008C2F98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Noto Sans" w:hAnsi="Noto Sans" w:cs="Noto Sans"/>
          <w:sz w:val="20"/>
          <w:szCs w:val="20"/>
          <w:shd w:val="clear" w:color="auto" w:fill="FFFFFF"/>
          <w:lang w:val="es-ES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Bebidas alcoólicas: </w:t>
      </w:r>
      <w:r>
        <w:rPr>
          <w:rFonts w:ascii="Noto Sans" w:hAnsi="Noto Sans" w:cs="Noto Sans"/>
          <w:sz w:val="20"/>
          <w:szCs w:val="20"/>
          <w:u w:val="single"/>
          <w:lang w:val="pt"/>
        </w:rPr>
        <w:t>Regulamento</w:t>
      </w:r>
      <w:r>
        <w:rPr>
          <w:rFonts w:ascii="Noto Sans" w:hAnsi="Noto Sans" w:cs="Noto Sans"/>
          <w:sz w:val="20"/>
          <w:szCs w:val="20"/>
          <w:lang w:val="pt"/>
        </w:rPr>
        <w:t xml:space="preserve"> 2021/2117 da UE </w:t>
      </w:r>
      <w:hyperlink r:id="rId15" w:history="1">
        <w:r>
          <w:rPr>
            <w:rStyle w:val="Hyperlink"/>
            <w:rFonts w:ascii="Noto Sans" w:hAnsi="Noto Sans" w:cs="Noto Sans"/>
            <w:sz w:val="20"/>
            <w:szCs w:val="20"/>
            <w:lang w:val="pt"/>
          </w:rPr>
          <w:t>relativo</w:t>
        </w:r>
        <w:r>
          <w:rPr>
            <w:rStyle w:val="Hyperlink"/>
            <w:rFonts w:ascii="Noto Sans" w:hAnsi="Noto Sans" w:cs="Noto Sans"/>
            <w:sz w:val="20"/>
            <w:szCs w:val="20"/>
            <w:u w:val="none"/>
            <w:lang w:val="pt"/>
          </w:rPr>
          <w:t xml:space="preserve"> a produtos vitivinícolas</w:t>
        </w:r>
      </w:hyperlink>
      <w:r>
        <w:rPr>
          <w:rFonts w:ascii="Noto Sans" w:hAnsi="Noto Sans" w:cs="Noto Sans"/>
          <w:sz w:val="20"/>
          <w:szCs w:val="20"/>
          <w:lang w:val="pt"/>
        </w:rPr>
        <w:t>;</w:t>
      </w:r>
    </w:p>
    <w:p w14:paraId="221C610C" w14:textId="35BC71A4" w:rsidR="00DE7E90" w:rsidRPr="009B6987" w:rsidRDefault="00C92EFC" w:rsidP="008C2F98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Noto Sans" w:hAnsi="Noto Sans" w:cs="Noto Sans"/>
          <w:sz w:val="20"/>
          <w:szCs w:val="20"/>
          <w:shd w:val="clear" w:color="auto" w:fill="FFFFFF"/>
          <w:lang w:val="es-ES"/>
        </w:rPr>
      </w:pP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Fatores de produção agrícola, incluindo sementes e agroquímicos: </w:t>
      </w:r>
      <w:r>
        <w:rPr>
          <w:rFonts w:ascii="Noto Sans" w:hAnsi="Noto Sans" w:cs="Noto Sans"/>
          <w:sz w:val="20"/>
          <w:szCs w:val="20"/>
          <w:u w:val="single"/>
          <w:shd w:val="clear" w:color="auto" w:fill="FFFFFF"/>
          <w:lang w:val="pt"/>
        </w:rPr>
        <w:t>Regras</w:t>
      </w:r>
      <w:r>
        <w:rPr>
          <w:rFonts w:ascii="Noto Sans" w:hAnsi="Noto Sans" w:cs="Noto Sans"/>
          <w:sz w:val="20"/>
          <w:szCs w:val="20"/>
          <w:shd w:val="clear" w:color="auto" w:fill="FFFFFF"/>
          <w:lang w:val="pt"/>
        </w:rPr>
        <w:t xml:space="preserve"> </w:t>
      </w:r>
      <w:hyperlink r:id="rId16" w:history="1">
        <w:r>
          <w:rPr>
            <w:rStyle w:val="Hyperlink"/>
            <w:rFonts w:ascii="Noto Sans" w:hAnsi="Noto Sans" w:cs="Noto Sans"/>
            <w:sz w:val="20"/>
            <w:szCs w:val="20"/>
            <w:shd w:val="clear" w:color="auto" w:fill="FFFFFF"/>
            <w:lang w:val="pt"/>
          </w:rPr>
          <w:t>relativas a inseticidas (segunda alteração) da Índia, 2023</w:t>
        </w:r>
      </w:hyperlink>
    </w:p>
    <w:p w14:paraId="10749617" w14:textId="3D1DDB89" w:rsidR="00BD7F83" w:rsidRPr="009B6987" w:rsidRDefault="00DE7E90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Particularmente na indústria farmacêutica, a utilização de códigos 2D tem acelerado desde a sua inclusão nos regulamentos, nomeadamente o FMD da UE em 2011. Apesar de não existirem regulamentações específicas que tenham conduzido a esta mudança, no âmbito dos setores médico e de cuidados de saúde, os códigos 2D de dados variáveis são habitualmente usados para modernizar as operações de cuidados de saúde e otimizar as experiências dos pacientes. Um relatório recente da </w:t>
      </w:r>
      <w:hyperlink r:id="rId17" w:history="1">
        <w:hyperlink r:id="rId18" w:history="1">
          <w:r>
            <w:rPr>
              <w:rStyle w:val="Hyperlink"/>
              <w:rFonts w:ascii="Noto Sans" w:hAnsi="Noto Sans" w:cs="Noto Sans"/>
              <w:sz w:val="20"/>
              <w:szCs w:val="20"/>
              <w:lang w:val="pt"/>
            </w:rPr>
            <w:t>Sociedade de Sistemas de Informação e Gestão em Saúde</w:t>
          </w:r>
        </w:hyperlink>
      </w:hyperlink>
      <w:r>
        <w:rPr>
          <w:rFonts w:ascii="Noto Sans" w:hAnsi="Noto Sans" w:cs="Noto Sans"/>
          <w:sz w:val="20"/>
          <w:szCs w:val="20"/>
          <w:lang w:val="pt"/>
        </w:rPr>
        <w:t xml:space="preserve"> indicou que 60% dos prestadores de cuidados de saúde nos EUA dispunham de códigos QR de dados variáveis integrados nos seus sistemas de gestão de pacientes em 2023. </w:t>
      </w:r>
    </w:p>
    <w:p w14:paraId="1869D1FB" w14:textId="05570B50" w:rsidR="003B4D87" w:rsidRPr="009B6987" w:rsidRDefault="00BD7F83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«Ter dado apoio aos nossos clientes globais da indústria farmacêutica na preparação para o FMD da UE, DSCSA dos EUA e MDR da UE, compreendemos as complexidades associadas à preparação das linhas de produção para lidar com a impressão de códigos 2D serializados em ambientes exigentes», afirma Bart Vansteenkiste, Gestor do Setor Global de Ciências da Vida da Domino. «Também compreendemos a importância de ajudar a melhorar a segurança do doente e de reduzir os erros de medicação. Prevemos um futuro com requisitos de códigos 2D mais rigorosos nestas indústrias. Por este motivo, desenvolvemos a solução </w:t>
      </w:r>
      <w:r>
        <w:rPr>
          <w:rFonts w:ascii="Noto Sans" w:hAnsi="Noto Sans" w:cs="Noto Sans"/>
          <w:b/>
          <w:bCs/>
          <w:sz w:val="20"/>
          <w:szCs w:val="20"/>
          <w:lang w:val="pt"/>
        </w:rPr>
        <w:t>K600G</w:t>
      </w:r>
      <w:r>
        <w:rPr>
          <w:rFonts w:ascii="Noto Sans" w:hAnsi="Noto Sans" w:cs="Noto Sans"/>
          <w:sz w:val="20"/>
          <w:szCs w:val="20"/>
          <w:lang w:val="pt"/>
        </w:rPr>
        <w:t xml:space="preserve"> para os códigos 2D serializados, de dosagem individual na indústria farmacêutica, a fim de podermos ajudar os nossos clientes a preparar as suas linhas para o futuro e a manterem-se na vanguarda.» </w:t>
      </w:r>
    </w:p>
    <w:p w14:paraId="3E11FF3B" w14:textId="6D6EF56F" w:rsidR="00600213" w:rsidRPr="009B6987" w:rsidRDefault="00502310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A Domino trabalhou de perto com a GS1 por mais de 20 anos e desenvolveu uma gama alargada de tecnologias de impressão globalmente compatíveis e criadas para lidar com impressões de códigos 2D serializados e de dados variáveis em ambientes exigentes, incluindo os codificadores a jato de tinta térmico </w:t>
      </w:r>
      <w:hyperlink r:id="rId19" w:history="1">
        <w:r w:rsidRPr="00FD4CD4">
          <w:rPr>
            <w:rStyle w:val="Hyperlink"/>
            <w:rFonts w:ascii="Noto Sans" w:hAnsi="Noto Sans" w:cs="Noto Sans"/>
            <w:b/>
            <w:bCs/>
            <w:sz w:val="20"/>
            <w:szCs w:val="20"/>
            <w:lang w:val="pt"/>
          </w:rPr>
          <w:t>Gx-Series</w:t>
        </w:r>
      </w:hyperlink>
      <w:r>
        <w:rPr>
          <w:rFonts w:ascii="Noto Sans" w:hAnsi="Noto Sans" w:cs="Noto Sans"/>
          <w:b/>
          <w:bCs/>
          <w:sz w:val="20"/>
          <w:szCs w:val="20"/>
          <w:lang w:val="pt"/>
        </w:rPr>
        <w:t xml:space="preserve"> </w:t>
      </w:r>
      <w:r>
        <w:rPr>
          <w:rFonts w:ascii="Noto Sans" w:hAnsi="Noto Sans" w:cs="Noto Sans"/>
          <w:sz w:val="20"/>
          <w:szCs w:val="20"/>
          <w:lang w:val="pt"/>
        </w:rPr>
        <w:t xml:space="preserve">, as impressoras por transferência </w:t>
      </w:r>
      <w:r w:rsidRPr="00936955">
        <w:rPr>
          <w:rFonts w:ascii="Noto Sans" w:hAnsi="Noto Sans" w:cs="Noto Sans"/>
          <w:sz w:val="20"/>
          <w:szCs w:val="20"/>
          <w:lang w:val="pt"/>
        </w:rPr>
        <w:t>térmica</w:t>
      </w:r>
      <w:r>
        <w:rPr>
          <w:rFonts w:ascii="Noto Sans" w:hAnsi="Noto Sans" w:cs="Noto Sans"/>
          <w:sz w:val="20"/>
          <w:szCs w:val="20"/>
          <w:lang w:val="pt"/>
        </w:rPr>
        <w:t xml:space="preserve"> </w:t>
      </w:r>
      <w:hyperlink r:id="rId20" w:history="1">
        <w:r w:rsidRPr="00FD4CD4">
          <w:rPr>
            <w:rStyle w:val="Hyperlink"/>
            <w:rFonts w:ascii="Noto Sans" w:hAnsi="Noto Sans" w:cs="Noto Sans"/>
            <w:b/>
            <w:bCs/>
            <w:sz w:val="20"/>
            <w:szCs w:val="20"/>
            <w:lang w:val="pt"/>
          </w:rPr>
          <w:t>Vx-Seri</w:t>
        </w:r>
        <w:r w:rsidRPr="00936955">
          <w:rPr>
            <w:rStyle w:val="Hyperlink"/>
            <w:rFonts w:ascii="Noto Sans" w:hAnsi="Noto Sans" w:cs="Noto Sans"/>
            <w:b/>
            <w:bCs/>
            <w:sz w:val="20"/>
            <w:szCs w:val="20"/>
            <w:lang w:val="pt"/>
          </w:rPr>
          <w:t>es</w:t>
        </w:r>
      </w:hyperlink>
      <w:r>
        <w:rPr>
          <w:rFonts w:ascii="Noto Sans" w:hAnsi="Noto Sans" w:cs="Noto Sans"/>
          <w:sz w:val="20"/>
          <w:szCs w:val="20"/>
          <w:lang w:val="pt"/>
        </w:rPr>
        <w:t xml:space="preserve"> , as impressoras monocromáticas a jato de tinta de alta resolução </w:t>
      </w:r>
      <w:hyperlink r:id="rId21" w:history="1">
        <w:r w:rsidRPr="00FD4CD4">
          <w:rPr>
            <w:rStyle w:val="Hyperlink"/>
            <w:rFonts w:ascii="Noto Sans" w:hAnsi="Noto Sans" w:cs="Noto Sans"/>
            <w:b/>
            <w:bCs/>
            <w:sz w:val="20"/>
            <w:szCs w:val="20"/>
            <w:lang w:val="pt"/>
          </w:rPr>
          <w:t>K-Series</w:t>
        </w:r>
      </w:hyperlink>
      <w:r>
        <w:rPr>
          <w:rFonts w:ascii="Noto Sans" w:hAnsi="Noto Sans" w:cs="Noto Sans"/>
          <w:b/>
          <w:bCs/>
          <w:sz w:val="20"/>
          <w:szCs w:val="20"/>
          <w:lang w:val="pt"/>
        </w:rPr>
        <w:t xml:space="preserve"> </w:t>
      </w:r>
      <w:r w:rsidRPr="008E2890">
        <w:rPr>
          <w:rFonts w:ascii="Noto Sans" w:hAnsi="Noto Sans" w:cs="Noto Sans"/>
          <w:sz w:val="20"/>
          <w:szCs w:val="20"/>
          <w:lang w:val="pt"/>
        </w:rPr>
        <w:t>e</w:t>
      </w:r>
      <w:r>
        <w:rPr>
          <w:rFonts w:ascii="Noto Sans" w:hAnsi="Noto Sans" w:cs="Noto Sans"/>
          <w:sz w:val="20"/>
          <w:szCs w:val="20"/>
          <w:lang w:val="pt"/>
        </w:rPr>
        <w:t xml:space="preserve"> os codificadores a laser CO2 </w:t>
      </w:r>
      <w:hyperlink r:id="rId22" w:history="1">
        <w:r w:rsidRPr="00FD4CD4">
          <w:rPr>
            <w:rStyle w:val="Hyperlink"/>
            <w:rFonts w:ascii="Noto Sans" w:hAnsi="Noto Sans" w:cs="Noto Sans"/>
            <w:b/>
            <w:bCs/>
            <w:sz w:val="20"/>
            <w:szCs w:val="20"/>
            <w:lang w:val="pt"/>
          </w:rPr>
          <w:t>D-Series</w:t>
        </w:r>
      </w:hyperlink>
      <w:r>
        <w:rPr>
          <w:rFonts w:ascii="Noto Sans" w:hAnsi="Noto Sans" w:cs="Noto Sans"/>
          <w:sz w:val="20"/>
          <w:szCs w:val="20"/>
          <w:lang w:val="pt"/>
        </w:rPr>
        <w:t xml:space="preserve">. A empresa está empenhada em ajudar as marcas e os </w:t>
      </w:r>
      <w:r>
        <w:rPr>
          <w:rFonts w:ascii="Noto Sans" w:hAnsi="Noto Sans" w:cs="Noto Sans"/>
          <w:sz w:val="20"/>
          <w:szCs w:val="20"/>
          <w:lang w:val="pt"/>
        </w:rPr>
        <w:lastRenderedPageBreak/>
        <w:t xml:space="preserve">fabricantes a prepararem-se para os requisitos regulamentares de códigos 2D do futuro, incluindo requisitos para identificação de dosagem individual e a mudança global para códigos 2D no ponto de venda. A equipa de setor designada da Domino está no centro deste compromisso, englobando peritos nos setores globais dos produtos alimentares, bebidas e ciências da vida. A equipa de setor da Domino trabalha de perto com os fabricantes internacionais para compreender os requisitos da indústria e dos clientes, e desenvolver soluções fiáveis e integrais para impressão e verificação de códigos 2D. </w:t>
      </w:r>
    </w:p>
    <w:p w14:paraId="7041177F" w14:textId="1AF977C2" w:rsidR="00600213" w:rsidRPr="009B6987" w:rsidRDefault="00600213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O exemplo mais recente desta realidade é o lançamento da gama de </w:t>
      </w:r>
      <w:hyperlink r:id="rId23" w:history="1">
        <w:r w:rsidRPr="00FD4CD4">
          <w:rPr>
            <w:rStyle w:val="Hyperlink"/>
            <w:rFonts w:ascii="Noto Sans" w:hAnsi="Noto Sans" w:cs="Noto Sans"/>
            <w:sz w:val="20"/>
            <w:szCs w:val="20"/>
            <w:lang w:val="pt"/>
          </w:rPr>
          <w:t>estações de codificação de fechos de garrafas</w:t>
        </w:r>
      </w:hyperlink>
      <w:r>
        <w:rPr>
          <w:rFonts w:ascii="Noto Sans" w:hAnsi="Noto Sans" w:cs="Noto Sans"/>
          <w:sz w:val="20"/>
          <w:szCs w:val="20"/>
          <w:lang w:val="pt"/>
        </w:rPr>
        <w:t xml:space="preserve"> da Domino, incorporando impressões de alta velocidade e alta resolução com a impressora </w:t>
      </w:r>
      <w:r>
        <w:rPr>
          <w:rFonts w:ascii="Noto Sans" w:hAnsi="Noto Sans" w:cs="Noto Sans"/>
          <w:b/>
          <w:bCs/>
          <w:sz w:val="20"/>
          <w:szCs w:val="20"/>
          <w:lang w:val="pt"/>
        </w:rPr>
        <w:t>K300</w:t>
      </w:r>
      <w:r>
        <w:rPr>
          <w:rFonts w:ascii="Noto Sans" w:hAnsi="Noto Sans" w:cs="Noto Sans"/>
          <w:sz w:val="20"/>
          <w:szCs w:val="20"/>
          <w:lang w:val="pt"/>
        </w:rPr>
        <w:t xml:space="preserve"> da Domino. As novas soluções, que imprimem dados variáveis e códigos 2D, incluindo códigos QR, em tampas e fechos de garrafas HDPE, foram desenvolvidas em colaboração próxima com os fabricantes de água engarrafada líderes na Coreia no âmbito da preparação para a nova legislação, que irá proibir o uso de etiquetas externas em água engarrafada a partir de janeiro de 2026. </w:t>
      </w:r>
    </w:p>
    <w:p w14:paraId="63DC438F" w14:textId="19B66E14" w:rsidR="00DC7C86" w:rsidRPr="009B6987" w:rsidRDefault="00DC7C86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>«Enquanto perito global em impressão avançada de dados variáveis, a Domino trabalha de perto com a GS1 e outras organizações da indústria para ajudar a apoiar e a conduzir a adoção de códigos 2D nas várias indústrias», afirma Cutforth. «Ao longo dos anos, merecemos a confiança das empresas globais para fornecer a experiência necessária no setor e em tecnologia para as ajudar a preparar-se para as alterações regulamentares. Hoje em dia, orgulhamo-nos de estar na vanguarda dos novos desenvolvimentos regulamentares. Estamos preparados para ajudar as empresas e facilitar a transição do conceito para a produção de aplicações de códigos 2D.»</w:t>
      </w:r>
    </w:p>
    <w:p w14:paraId="6C84E206" w14:textId="1DD5695B" w:rsidR="0031042C" w:rsidRPr="009B6987" w:rsidRDefault="0031042C" w:rsidP="008C2F98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pt"/>
        </w:rPr>
        <w:t xml:space="preserve">Para saber mais sobre a gama de soluções de impressão de dados variáveis e como a Domino o pode ajudar a preparar as suas linhas de produção para o futuro e a organizar-se com vista à migração global para códigos 2D, </w:t>
      </w:r>
      <w:hyperlink r:id="rId24" w:history="1">
        <w:r w:rsidRPr="00FD4CD4">
          <w:rPr>
            <w:rStyle w:val="Hyperlink"/>
            <w:rFonts w:ascii="Noto Sans" w:hAnsi="Noto Sans" w:cs="Noto Sans"/>
            <w:sz w:val="20"/>
            <w:szCs w:val="20"/>
            <w:lang w:val="pt"/>
          </w:rPr>
          <w:t>visite o website</w:t>
        </w:r>
      </w:hyperlink>
      <w:r>
        <w:rPr>
          <w:rFonts w:ascii="Noto Sans" w:hAnsi="Noto Sans" w:cs="Noto Sans"/>
          <w:sz w:val="20"/>
          <w:szCs w:val="20"/>
          <w:lang w:val="pt"/>
        </w:rPr>
        <w:t xml:space="preserve"> ou </w:t>
      </w:r>
      <w:hyperlink r:id="rId25" w:history="1">
        <w:r w:rsidRPr="007450E5">
          <w:rPr>
            <w:rStyle w:val="Hyperlink"/>
            <w:rFonts w:ascii="Noto Sans" w:hAnsi="Noto Sans" w:cs="Noto Sans"/>
            <w:sz w:val="20"/>
            <w:szCs w:val="20"/>
            <w:lang w:val="pt"/>
          </w:rPr>
          <w:t>entre em contacto.</w:t>
        </w:r>
      </w:hyperlink>
    </w:p>
    <w:p w14:paraId="66A39007" w14:textId="77777777" w:rsidR="0031042C" w:rsidRDefault="0031042C" w:rsidP="0031042C">
      <w:pPr>
        <w:rPr>
          <w:rFonts w:ascii="Noto Sans" w:hAnsi="Noto Sans" w:cs="Noto Sans"/>
          <w:sz w:val="20"/>
          <w:szCs w:val="20"/>
          <w:lang w:val="es-ES"/>
        </w:rPr>
      </w:pPr>
    </w:p>
    <w:p w14:paraId="1FB51B4B" w14:textId="6F83ECBC" w:rsidR="00985B39" w:rsidRPr="009B6987" w:rsidRDefault="00985B39" w:rsidP="0031042C">
      <w:pPr>
        <w:rPr>
          <w:rFonts w:ascii="Noto Sans" w:hAnsi="Noto Sans" w:cs="Noto Sans"/>
          <w:sz w:val="20"/>
          <w:szCs w:val="20"/>
          <w:lang w:val="es-ES"/>
        </w:rPr>
      </w:pPr>
      <w:r>
        <w:rPr>
          <w:rFonts w:ascii="Noto Sans" w:hAnsi="Noto Sans" w:cs="Noto Sans"/>
          <w:sz w:val="20"/>
          <w:szCs w:val="20"/>
          <w:lang w:val="es-ES"/>
        </w:rPr>
        <w:t>&lt;</w:t>
      </w:r>
      <w:r w:rsidRPr="00985B39">
        <w:rPr>
          <w:rFonts w:ascii="Noto Sans" w:hAnsi="Noto Sans" w:cs="Noto Sans"/>
          <w:b/>
          <w:bCs/>
          <w:sz w:val="20"/>
          <w:szCs w:val="20"/>
          <w:lang w:val="es-ES"/>
        </w:rPr>
        <w:t>FIM</w:t>
      </w:r>
      <w:r>
        <w:rPr>
          <w:rFonts w:ascii="Noto Sans" w:hAnsi="Noto Sans" w:cs="Noto Sans"/>
          <w:sz w:val="20"/>
          <w:szCs w:val="20"/>
          <w:lang w:val="es-ES"/>
        </w:rPr>
        <w:t>&gt;</w:t>
      </w:r>
    </w:p>
    <w:p w14:paraId="73E52FB3" w14:textId="0AAEABDE" w:rsidR="005B1395" w:rsidRDefault="005B1395" w:rsidP="00C44603">
      <w:pPr>
        <w:rPr>
          <w:lang w:val="es-ES"/>
        </w:rPr>
      </w:pPr>
    </w:p>
    <w:p w14:paraId="4026B086" w14:textId="77777777" w:rsidR="00985B39" w:rsidRDefault="00985B39" w:rsidP="00C44603">
      <w:pPr>
        <w:rPr>
          <w:lang w:val="es-ES"/>
        </w:rPr>
      </w:pPr>
    </w:p>
    <w:p w14:paraId="4013DF4F" w14:textId="77777777" w:rsidR="00985B39" w:rsidRPr="002E0B38" w:rsidRDefault="00985B39" w:rsidP="00985B39">
      <w:pPr>
        <w:spacing w:after="160"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es-ES"/>
        </w:rPr>
      </w:pPr>
      <w:bookmarkStart w:id="0" w:name="_Hlk61949672"/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lastRenderedPageBreak/>
        <w:t>Isenção de responsabilidade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b/>
          <w:bCs/>
          <w:sz w:val="20"/>
          <w:szCs w:val="20"/>
          <w:lang w:val="pt-PT"/>
        </w:rPr>
        <w:t>Tintas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 xml:space="preserve"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 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b/>
          <w:bCs/>
          <w:sz w:val="20"/>
          <w:szCs w:val="20"/>
          <w:lang w:val="pt-PT"/>
        </w:rPr>
        <w:t>Geral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b/>
          <w:bCs/>
          <w:sz w:val="20"/>
          <w:szCs w:val="20"/>
          <w:lang w:val="pt-PT"/>
        </w:rPr>
        <w:t>Imagens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Marque TDI/Domino. 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b/>
          <w:bCs/>
          <w:sz w:val="20"/>
          <w:szCs w:val="20"/>
          <w:lang w:val="pt-PT"/>
        </w:rPr>
        <w:t>Vídeos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Acerca da Domino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pt-PT"/>
        </w:rPr>
        <w:t xml:space="preserve">Desde 1978, a Domino Printing Sciences (Domino) estabeleceu uma reputação global relativamente ao desenvolvimento e fabrico de tecnologias de codificação, marcação e impressão, assim como aos seus produtos de pós-venda e ao atendimento ao cliente a nível mundial. Atualmente, a Domino oferece uma das mais abrangentes gamas de soluções de codificação concebidas com o objetivo de cumprirem os requisitos de conformidade e produtividade dos fabricantes em muitos setores, incluindo bebidas, produtos alimentares, farmacêuticos e industriais. As principais tecnologias da empresa incluem sistemas inovadores de impressão a jato de tinta, impressão a laser, impressão e aplicação e impressão por transferência térmica, concebidos para a aplicação de dados variáveis, códigos de barras e </w:t>
      </w:r>
      <w:r w:rsidRPr="002E0B38">
        <w:rPr>
          <w:rFonts w:ascii="Noto Sans" w:eastAsia="Gill Sans" w:hAnsi="Noto Sans" w:cs="Noto Sans"/>
          <w:sz w:val="20"/>
          <w:szCs w:val="20"/>
          <w:lang w:val="pt-PT"/>
        </w:rPr>
        <w:lastRenderedPageBreak/>
        <w:t xml:space="preserve">códigos de rastreabilidade exclusivos em produtos e embalagens. </w:t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pt-PT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</w:t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pt-PT"/>
        </w:rPr>
        <w:t xml:space="preserve">A Domino tornou-se uma divisão independente da Brother Industries Ltd. a 11 de junho de 2015. </w:t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 xml:space="preserve">A Marque TDI 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t xml:space="preserve">, atualmente, pertence </w:t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>à Domino Portugal.</w:t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pt-PT"/>
        </w:rPr>
        <w:t xml:space="preserve">Para obter mais informações sobre a Domino, visite </w:t>
      </w:r>
      <w:hyperlink r:id="rId26" w:history="1">
        <w:r w:rsidRPr="002E0B38">
          <w:rPr>
            <w:rFonts w:ascii="Noto Sans" w:eastAsia="Gill Sans" w:hAnsi="Noto Sans" w:cs="Noto Sans"/>
            <w:color w:val="0000FF"/>
            <w:sz w:val="20"/>
            <w:szCs w:val="20"/>
            <w:u w:val="single"/>
            <w:lang w:val="pt-PT"/>
          </w:rPr>
          <w:t>www.domino-printing.pt</w:t>
        </w:r>
      </w:hyperlink>
      <w:r w:rsidRPr="002E0B38">
        <w:rPr>
          <w:rFonts w:ascii="Noto Sans" w:eastAsia="Gill Sans" w:hAnsi="Noto Sans" w:cs="Noto Sans"/>
          <w:sz w:val="20"/>
          <w:szCs w:val="20"/>
          <w:lang w:val="pt-PT"/>
        </w:rPr>
        <w:t xml:space="preserve"> </w:t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Para obter mais informações, contacte:</w:t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 xml:space="preserve">Jade Taylor-Salazar 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>Gerente de Relações Públicas e Conteúdo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 xml:space="preserve">Domino Printing Sciences 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Theme="minorHAnsi" w:hAnsi="Noto Sans" w:cs="Noto Sans"/>
          <w:sz w:val="20"/>
          <w:szCs w:val="20"/>
          <w:lang w:val="pt-PT"/>
        </w:rPr>
        <w:t>Tel.: +44 (0) 1954 778780</w:t>
      </w:r>
      <w:r w:rsidRPr="002E0B38">
        <w:rPr>
          <w:rFonts w:ascii="Noto Sans" w:eastAsiaTheme="minorHAnsi" w:hAnsi="Noto Sans" w:cs="Noto Sans"/>
          <w:sz w:val="20"/>
          <w:szCs w:val="20"/>
          <w:lang w:val="es-ES"/>
        </w:rPr>
        <w:br/>
      </w:r>
      <w:hyperlink r:id="rId27" w:history="1">
        <w:r w:rsidRPr="002E0B38">
          <w:rPr>
            <w:rFonts w:ascii="Noto Sans" w:eastAsiaTheme="minorHAnsi" w:hAnsi="Noto Sans" w:cs="Noto Sans"/>
            <w:color w:val="0000FF"/>
            <w:sz w:val="20"/>
            <w:szCs w:val="20"/>
            <w:u w:val="single"/>
            <w:lang w:val="pt-PT"/>
          </w:rPr>
          <w:t>Jade.Taylor-Salazar@domino-uk.com</w:t>
        </w:r>
      </w:hyperlink>
      <w:r w:rsidRPr="002E0B38">
        <w:rPr>
          <w:rFonts w:ascii="Noto Sans" w:eastAsiaTheme="minorHAnsi" w:hAnsi="Noto Sans" w:cs="Noto Sans"/>
          <w:color w:val="0000FF"/>
          <w:sz w:val="20"/>
          <w:szCs w:val="20"/>
          <w:u w:val="single"/>
          <w:lang w:val="pt-PT"/>
        </w:rPr>
        <w:br/>
      </w:r>
      <w:r w:rsidRPr="002E0B38">
        <w:rPr>
          <w:rFonts w:ascii="Noto Sans" w:eastAsiaTheme="minorHAnsi" w:hAnsi="Noto Sans" w:cs="Noto Sans"/>
          <w:color w:val="0000FF"/>
          <w:sz w:val="20"/>
          <w:szCs w:val="20"/>
          <w:u w:val="single"/>
          <w:lang w:val="pt-PT"/>
        </w:rPr>
        <w:br/>
      </w:r>
      <w:r w:rsidRPr="002E0B38"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  <w:t>Cátia Gouveia</w:t>
      </w:r>
      <w:r w:rsidRPr="002E0B38"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  <w:br/>
        <w:t>Executivo de Marketing</w:t>
      </w:r>
      <w:r w:rsidRPr="002E0B38"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  <w:br/>
        <w:t>Marque TDI</w:t>
      </w:r>
      <w:r w:rsidRPr="002E0B38"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  <w:br/>
        <w:t>Tel.: +35 1919866148</w:t>
      </w:r>
      <w:r w:rsidRPr="002E0B38"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  <w:br/>
      </w:r>
      <w:hyperlink r:id="rId28" w:history="1">
        <w:r w:rsidRPr="002E0B38">
          <w:rPr>
            <w:rFonts w:ascii="Noto Sans" w:hAnsi="Noto Sans" w:cs="Noto Sans"/>
            <w:color w:val="0000FF"/>
            <w:sz w:val="20"/>
            <w:szCs w:val="20"/>
            <w:u w:val="single"/>
            <w:lang w:val="es-ES"/>
          </w:rPr>
          <w:t>catia.gouveia@marquetdi.pt</w:t>
        </w:r>
      </w:hyperlink>
      <w:r w:rsidRPr="002E0B38">
        <w:rPr>
          <w:rFonts w:ascii="Noto Sans" w:hAnsi="Noto Sans" w:cs="Noto Sans"/>
          <w:sz w:val="20"/>
          <w:szCs w:val="20"/>
          <w:lang w:val="es-ES"/>
        </w:rPr>
        <w:t xml:space="preserve"> </w:t>
      </w:r>
    </w:p>
    <w:p w14:paraId="556AA321" w14:textId="77777777" w:rsidR="00985B39" w:rsidRPr="002E0B38" w:rsidRDefault="00985B39" w:rsidP="00985B39">
      <w:pPr>
        <w:spacing w:after="160" w:line="240" w:lineRule="auto"/>
        <w:rPr>
          <w:rFonts w:ascii="Noto Sans" w:eastAsiaTheme="minorHAnsi" w:hAnsi="Noto Sans" w:cs="Noto Sans"/>
          <w:color w:val="0D0D0D" w:themeColor="text1" w:themeTint="F2"/>
          <w:sz w:val="20"/>
          <w:szCs w:val="20"/>
          <w:lang w:val="es-ES"/>
        </w:rPr>
      </w:pPr>
    </w:p>
    <w:bookmarkEnd w:id="0"/>
    <w:p w14:paraId="19E34D29" w14:textId="77777777" w:rsidR="00985B39" w:rsidRPr="009B6987" w:rsidRDefault="00985B39" w:rsidP="00C44603">
      <w:pPr>
        <w:rPr>
          <w:lang w:val="es-ES"/>
        </w:rPr>
      </w:pPr>
    </w:p>
    <w:sectPr w:rsidR="00985B39" w:rsidRPr="009B6987" w:rsidSect="000F6D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381B4" w14:textId="77777777" w:rsidR="00F40EB1" w:rsidRDefault="00F40EB1" w:rsidP="00785717">
      <w:pPr>
        <w:spacing w:line="240" w:lineRule="auto"/>
      </w:pPr>
      <w:r>
        <w:separator/>
      </w:r>
    </w:p>
  </w:endnote>
  <w:endnote w:type="continuationSeparator" w:id="0">
    <w:p w14:paraId="1623B308" w14:textId="77777777" w:rsidR="00F40EB1" w:rsidRDefault="00F40EB1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7640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6B7BE" w14:textId="77777777" w:rsidR="00785717" w:rsidRDefault="000F6D00" w:rsidP="00785717">
    <w:pPr>
      <w:pStyle w:val="Footer"/>
    </w:pPr>
    <w:r>
      <w:rPr>
        <w:noProof/>
        <w:lang w:val="pt"/>
      </w:rPr>
      <w:drawing>
        <wp:anchor distT="0" distB="0" distL="114300" distR="114300" simplePos="0" relativeHeight="251659264" behindDoc="0" locked="0" layoutInCell="1" allowOverlap="1" wp14:anchorId="7ACB7115" wp14:editId="69BE2C4F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"/>
      </w:rPr>
      <w:drawing>
        <wp:anchor distT="0" distB="0" distL="114300" distR="114300" simplePos="0" relativeHeight="251658240" behindDoc="1" locked="0" layoutInCell="1" allowOverlap="1" wp14:anchorId="3FB6D24D" wp14:editId="63AEBA9F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imagem contém uma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F1F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494FB" w14:textId="77777777" w:rsidR="00F40EB1" w:rsidRDefault="00F40EB1" w:rsidP="00785717">
      <w:pPr>
        <w:spacing w:line="240" w:lineRule="auto"/>
      </w:pPr>
      <w:r>
        <w:separator/>
      </w:r>
    </w:p>
  </w:footnote>
  <w:footnote w:type="continuationSeparator" w:id="0">
    <w:p w14:paraId="71BAC77F" w14:textId="77777777" w:rsidR="00F40EB1" w:rsidRDefault="00F40EB1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BE34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FA71D" w14:textId="77777777" w:rsidR="000F6D00" w:rsidRDefault="002766D9">
    <w:pPr>
      <w:pStyle w:val="Header"/>
    </w:pPr>
    <w:r>
      <w:rPr>
        <w:noProof/>
        <w:lang w:val="pt"/>
      </w:rPr>
      <w:drawing>
        <wp:anchor distT="0" distB="0" distL="114300" distR="114300" simplePos="0" relativeHeight="251661312" behindDoc="0" locked="0" layoutInCell="1" allowOverlap="1" wp14:anchorId="350138EE" wp14:editId="0AF1D6D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ótipo, nome da companhi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7BBF" w14:textId="77777777" w:rsidR="00EC1C5A" w:rsidRDefault="00EC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93842"/>
    <w:multiLevelType w:val="hybridMultilevel"/>
    <w:tmpl w:val="D738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3333"/>
    <w:multiLevelType w:val="hybridMultilevel"/>
    <w:tmpl w:val="D0B0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51CB"/>
    <w:multiLevelType w:val="hybridMultilevel"/>
    <w:tmpl w:val="2050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348F"/>
    <w:multiLevelType w:val="hybridMultilevel"/>
    <w:tmpl w:val="E6D4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42521">
    <w:abstractNumId w:val="0"/>
  </w:num>
  <w:num w:numId="2" w16cid:durableId="1344669304">
    <w:abstractNumId w:val="3"/>
  </w:num>
  <w:num w:numId="3" w16cid:durableId="767584481">
    <w:abstractNumId w:val="2"/>
  </w:num>
  <w:num w:numId="4" w16cid:durableId="125574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20"/>
    <w:rsid w:val="0001542B"/>
    <w:rsid w:val="000208F0"/>
    <w:rsid w:val="0002201E"/>
    <w:rsid w:val="00051AF1"/>
    <w:rsid w:val="00090FEC"/>
    <w:rsid w:val="000A126F"/>
    <w:rsid w:val="000A4831"/>
    <w:rsid w:val="000C2E3B"/>
    <w:rsid w:val="000C5EB0"/>
    <w:rsid w:val="000D16E7"/>
    <w:rsid w:val="000F6D00"/>
    <w:rsid w:val="00105A64"/>
    <w:rsid w:val="00111DF0"/>
    <w:rsid w:val="001225E2"/>
    <w:rsid w:val="00124428"/>
    <w:rsid w:val="00124BBC"/>
    <w:rsid w:val="00135A28"/>
    <w:rsid w:val="00136693"/>
    <w:rsid w:val="00153972"/>
    <w:rsid w:val="001652B5"/>
    <w:rsid w:val="00185EB4"/>
    <w:rsid w:val="001A5082"/>
    <w:rsid w:val="001D743C"/>
    <w:rsid w:val="001E0C56"/>
    <w:rsid w:val="0020093D"/>
    <w:rsid w:val="0021198E"/>
    <w:rsid w:val="00224D20"/>
    <w:rsid w:val="00245271"/>
    <w:rsid w:val="002766D9"/>
    <w:rsid w:val="002D6F2C"/>
    <w:rsid w:val="002F5D9F"/>
    <w:rsid w:val="00307A58"/>
    <w:rsid w:val="003100CB"/>
    <w:rsid w:val="0031042C"/>
    <w:rsid w:val="00315A1E"/>
    <w:rsid w:val="003508BD"/>
    <w:rsid w:val="00372E92"/>
    <w:rsid w:val="003B4D87"/>
    <w:rsid w:val="004303DA"/>
    <w:rsid w:val="004544C1"/>
    <w:rsid w:val="004B0A29"/>
    <w:rsid w:val="004F1CB0"/>
    <w:rsid w:val="00502310"/>
    <w:rsid w:val="005243C2"/>
    <w:rsid w:val="005272B1"/>
    <w:rsid w:val="005524DB"/>
    <w:rsid w:val="005709CF"/>
    <w:rsid w:val="005741C7"/>
    <w:rsid w:val="005B1395"/>
    <w:rsid w:val="005B57BD"/>
    <w:rsid w:val="005C60BC"/>
    <w:rsid w:val="005F3122"/>
    <w:rsid w:val="00600213"/>
    <w:rsid w:val="006024D5"/>
    <w:rsid w:val="00640416"/>
    <w:rsid w:val="0064347A"/>
    <w:rsid w:val="00647055"/>
    <w:rsid w:val="00660F46"/>
    <w:rsid w:val="00675BC5"/>
    <w:rsid w:val="006A1FE4"/>
    <w:rsid w:val="006C358F"/>
    <w:rsid w:val="006D2217"/>
    <w:rsid w:val="006F6A3D"/>
    <w:rsid w:val="00707EBE"/>
    <w:rsid w:val="00717DCB"/>
    <w:rsid w:val="00725AAA"/>
    <w:rsid w:val="007450E5"/>
    <w:rsid w:val="00777074"/>
    <w:rsid w:val="00785717"/>
    <w:rsid w:val="0079390F"/>
    <w:rsid w:val="007F3C6A"/>
    <w:rsid w:val="008220B7"/>
    <w:rsid w:val="00823B77"/>
    <w:rsid w:val="008916A8"/>
    <w:rsid w:val="008B33D9"/>
    <w:rsid w:val="008B6461"/>
    <w:rsid w:val="008C2F98"/>
    <w:rsid w:val="008E1328"/>
    <w:rsid w:val="008E2890"/>
    <w:rsid w:val="008F3E38"/>
    <w:rsid w:val="00931996"/>
    <w:rsid w:val="00936955"/>
    <w:rsid w:val="009379B0"/>
    <w:rsid w:val="00985B39"/>
    <w:rsid w:val="009A1716"/>
    <w:rsid w:val="009A1DEC"/>
    <w:rsid w:val="009B5547"/>
    <w:rsid w:val="009B6987"/>
    <w:rsid w:val="009C718C"/>
    <w:rsid w:val="009D6280"/>
    <w:rsid w:val="009D78AA"/>
    <w:rsid w:val="00A25D44"/>
    <w:rsid w:val="00A34918"/>
    <w:rsid w:val="00A61DB9"/>
    <w:rsid w:val="00A939BA"/>
    <w:rsid w:val="00AB11DA"/>
    <w:rsid w:val="00AE34FB"/>
    <w:rsid w:val="00B10863"/>
    <w:rsid w:val="00B23C3C"/>
    <w:rsid w:val="00B546C5"/>
    <w:rsid w:val="00B82B18"/>
    <w:rsid w:val="00B860A6"/>
    <w:rsid w:val="00BA6D44"/>
    <w:rsid w:val="00BB48AA"/>
    <w:rsid w:val="00BC7C15"/>
    <w:rsid w:val="00BD2F9C"/>
    <w:rsid w:val="00BD7F83"/>
    <w:rsid w:val="00BE4A01"/>
    <w:rsid w:val="00C063FE"/>
    <w:rsid w:val="00C35F6F"/>
    <w:rsid w:val="00C40AC9"/>
    <w:rsid w:val="00C427AC"/>
    <w:rsid w:val="00C44603"/>
    <w:rsid w:val="00C541FE"/>
    <w:rsid w:val="00C71A6F"/>
    <w:rsid w:val="00C92EFC"/>
    <w:rsid w:val="00CA5364"/>
    <w:rsid w:val="00CF1AD5"/>
    <w:rsid w:val="00CF3B63"/>
    <w:rsid w:val="00D140C0"/>
    <w:rsid w:val="00D36D7D"/>
    <w:rsid w:val="00D57EAA"/>
    <w:rsid w:val="00D7333F"/>
    <w:rsid w:val="00D73586"/>
    <w:rsid w:val="00D7690B"/>
    <w:rsid w:val="00DB130C"/>
    <w:rsid w:val="00DC3F46"/>
    <w:rsid w:val="00DC7C86"/>
    <w:rsid w:val="00DE7E90"/>
    <w:rsid w:val="00E03029"/>
    <w:rsid w:val="00EA1D5A"/>
    <w:rsid w:val="00EC1C5A"/>
    <w:rsid w:val="00ED4FAF"/>
    <w:rsid w:val="00EE42F5"/>
    <w:rsid w:val="00F24001"/>
    <w:rsid w:val="00F322D3"/>
    <w:rsid w:val="00F40EB1"/>
    <w:rsid w:val="00F75F8C"/>
    <w:rsid w:val="00F82F7D"/>
    <w:rsid w:val="00F84343"/>
    <w:rsid w:val="00FB1ED7"/>
    <w:rsid w:val="00FC1E2D"/>
    <w:rsid w:val="00FD4CD4"/>
    <w:rsid w:val="00FE1212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6507D"/>
  <w15:chartTrackingRefBased/>
  <w15:docId w15:val="{815764F5-789B-467E-B62C-1FC36ED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0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CB"/>
    <w:rPr>
      <w:rFonts w:ascii="Verdana" w:eastAsia="Calibri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CB"/>
    <w:rPr>
      <w:rFonts w:ascii="Verdana" w:eastAsia="Calibri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AF1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7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3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256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3013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069031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7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5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4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067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32033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259302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8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1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4960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4538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8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156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34139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1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1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943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733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3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5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7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276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154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3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418603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8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1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7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4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7611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3175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954994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0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450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8889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8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53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533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0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0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60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6271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3163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8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rea.net/Government/Briefing-Room/Press-Releases/view?articleId=144&amp;insttCode=A260120&amp;type=N" TargetMode="External"/><Relationship Id="rId18" Type="http://schemas.openxmlformats.org/officeDocument/2006/relationships/hyperlink" Target="https://gkc.himss.org/sites/hde/files/media/file/2024/03/01/2023-himss-cybersecurity-survey-x.pdf" TargetMode="External"/><Relationship Id="rId26" Type="http://schemas.openxmlformats.org/officeDocument/2006/relationships/hyperlink" Target="http://www.domino-printing.p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mino-printing.com/pt-pt/products/k-series/k600i?utm_medium=non-paid&amp;utm_source=onlinepublication&amp;utm_content=pr-pt&amp;utm_campaign=2024-int-pt-rise-of-2d-codes-in-regulated-industries-pr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domino-printing.com/pt-pt/news-and-events/news.aspx?utm_medium=non-paid&amp;utm_source=onlinepublication&amp;utm_content=pr-pt&amp;utm_campaign=2024-int-pt-rise-of-2d-codes-in-regulated-industries-pr" TargetMode="External"/><Relationship Id="rId12" Type="http://schemas.openxmlformats.org/officeDocument/2006/relationships/hyperlink" Target="https://health.ec.europa.eu/document/download/c4aa6f75-7e52-463b-badb-cbb6181b87c3_en?filename=dir_201440_en.pdf" TargetMode="External"/><Relationship Id="rId17" Type="http://schemas.openxmlformats.org/officeDocument/2006/relationships/hyperlink" Target="https://gkc.himss.org/sites/hde/files/media/file/2024/03/01/2023-himss-cybersecurity-survey-x.pdf" TargetMode="External"/><Relationship Id="rId25" Type="http://schemas.openxmlformats.org/officeDocument/2006/relationships/hyperlink" Target="https://www.domino-printing.com/pt-pt/contact-us/contact.aspx?utm_medium=non-paid&amp;utm_source=onlinepublication&amp;utm_content=pr-pt&amp;utm_campaign=2024-int-pt-rise-of-2d-codes-in-regulated-industries-pr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acfiindia.com/home/central-notice/G.S.R.211(E)DraftRulesfurthertoamendtheinsecticidesrules(23.03.2023).pdf" TargetMode="External"/><Relationship Id="rId20" Type="http://schemas.openxmlformats.org/officeDocument/2006/relationships/hyperlink" Target="https://www.domino-printing.com/pt-pt/products/tto?utm_medium=non-paid&amp;utm_source=onlinepublication&amp;utm_content=pr-pt&amp;utm_campaign=2024-int-pt-rise-of-2d-codes-in-regulated-industries-pr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celex%3A32017R0745" TargetMode="External"/><Relationship Id="rId24" Type="http://schemas.openxmlformats.org/officeDocument/2006/relationships/hyperlink" Target="https://www.domino-printing.com/pt-pt/blog/2023/2d-code-sunrise?utm_medium=non-paid&amp;utm_source=onlinepublication&amp;utm_content=pr-pt&amp;utm_campaign=2024-int-pt-rise-of-2d-codes-in-regulated-industries-pr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eli/reg/2021/2117/oj" TargetMode="External"/><Relationship Id="rId23" Type="http://schemas.openxmlformats.org/officeDocument/2006/relationships/hyperlink" Target="https://www.domino-printing.com/pt-pt/news-and-events/2024/etacao-de-impressao-de-tampas-de-garrafa-para-garrafas-de-agua-sem-rotul?utm_medium=non-paid&amp;utm_source=onlinepublication&amp;utm_content=pr-pt&amp;utm_campaign=2024-int-pt-rise-of-2d-codes-in-regulated-industries-pr" TargetMode="External"/><Relationship Id="rId28" Type="http://schemas.openxmlformats.org/officeDocument/2006/relationships/hyperlink" Target="mailto:catia.gouveia@marquetdi.p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dsco.gov.in/opencms/opencms/system/modules/CDSCO.WEB/elements/download_file_division.jsp?num_id=OTIwMg==" TargetMode="External"/><Relationship Id="rId19" Type="http://schemas.openxmlformats.org/officeDocument/2006/relationships/hyperlink" Target="https://www.domino-printing.com/pt-pt/products/gx-series?utm_medium=non-paid&amp;utm_source=onlinepublication&amp;utm_content=pr-pt&amp;utm_campaign=2024-int-pt-rise-of-2d-codes-in-regulated-industries-pr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drugs/drug-supply-chain-integrity/drug-supply-chain-security-act-dscsa" TargetMode="External"/><Relationship Id="rId14" Type="http://schemas.openxmlformats.org/officeDocument/2006/relationships/hyperlink" Target="https://www.fda.gov/food/food-safety-modernization-act-fsma/fsma-final-rule-requirements-additional-traceability-records-certain-foods" TargetMode="External"/><Relationship Id="rId22" Type="http://schemas.openxmlformats.org/officeDocument/2006/relationships/hyperlink" Target="https://www.domino-printing.com/pt-pt/products/d-series?utm_medium=non-paid&amp;utm_source=onlinepublication&amp;utm_content=pr-pt&amp;utm_campaign=2024-int-pt-rise-of-2d-codes-in-regulated-industries-pr" TargetMode="External"/><Relationship Id="rId27" Type="http://schemas.openxmlformats.org/officeDocument/2006/relationships/hyperlink" Target="mailto:Jade.Taylor-Salazar@domino-uk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health.ec.europa.eu/document/download/7bd5d800-08de-47a3-be9f-d5832682c262_en?filename=dir_2011_62_en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7</TotalTime>
  <Pages>5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Jade Taylor-Salazar</cp:lastModifiedBy>
  <cp:revision>5</cp:revision>
  <dcterms:created xsi:type="dcterms:W3CDTF">2024-12-03T12:36:00Z</dcterms:created>
  <dcterms:modified xsi:type="dcterms:W3CDTF">2024-12-06T10:59:00Z</dcterms:modified>
</cp:coreProperties>
</file>